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80"/>
      </w:pPr>
      <w:r>
        <w:rPr>
          <w:rFonts w:ascii="Aptos" w:hAnsi="Aptos" w:eastAsia="Aptos"/>
          <w:b/>
          <w:color w:val="2F5597"/>
          <w:sz w:val="22"/>
        </w:rPr>
        <w:t>ETHICLAW RESEARCH PROGRAM</w:t>
      </w:r>
    </w:p>
    <w:p>
      <w:pPr>
        <w:spacing w:after="140"/>
      </w:pPr>
      <w:r>
        <w:rPr>
          <w:rFonts w:ascii="Aptos Display" w:hAnsi="Aptos Display" w:eastAsia="Aptos Display"/>
          <w:b/>
          <w:color w:val="19324D"/>
          <w:sz w:val="60"/>
        </w:rPr>
        <w:t>Research Manifesto</w:t>
      </w:r>
    </w:p>
    <w:p>
      <w:pPr>
        <w:spacing w:after="440"/>
      </w:pPr>
      <w:r>
        <w:rPr>
          <w:rFonts w:ascii="Aptos Display" w:hAnsi="Aptos Display" w:eastAsia="Aptos Display"/>
          <w:color w:val="2F5597"/>
          <w:sz w:val="34"/>
        </w:rPr>
        <w:t>Architettura verificabile per sistemi inferenziali governabili</w:t>
      </w:r>
    </w:p>
    <w:tbl>
      <w:tblPr>
        <w:tblW w:type="auto" w:w="0"/>
        <w:jc w:val="center"/>
        <w:tblLayout w:type="fixed"/>
        <w:tblLook w:firstColumn="1" w:firstRow="1" w:lastColumn="0" w:lastRow="0" w:noHBand="0" w:noVBand="1" w:val="04A0"/>
        <w:tblBorders>
          <w:top w:val="single" w:sz="7" w:space="0" w:color="AFC4DD"/>
          <w:left w:val="single" w:sz="7" w:space="0" w:color="AFC4DD"/>
          <w:bottom w:val="single" w:sz="7" w:space="0" w:color="AFC4DD"/>
          <w:right w:val="single" w:sz="7" w:space="0" w:color="AFC4DD"/>
          <w:insideH w:val="single" w:sz="7" w:space="0" w:color="AFC4DD"/>
          <w:insideV w:val="single" w:sz="7" w:space="0" w:color="AFC4DD"/>
        </w:tblBorders>
      </w:tblPr>
      <w:tblGrid>
        <w:gridCol w:w="9878"/>
      </w:tblGrid>
      <w:tr>
        <w:tc>
          <w:tcPr>
            <w:tcW w:type="dxa" w:w="9878"/>
            <w:shd w:fill="EAF1F8"/>
            <w:tcMar>
              <w:top w:w="260" w:type="dxa"/>
              <w:start w:w="260" w:type="dxa"/>
              <w:bottom w:w="260" w:type="dxa"/>
              <w:end w:w="260" w:type="dxa"/>
            </w:tcMar>
          </w:tcPr>
          <w:p>
            <w:pPr>
              <w:spacing w:after="0"/>
            </w:pPr>
            <w:r>
              <w:rPr>
                <w:rFonts w:ascii="Aptos" w:hAnsi="Aptos" w:eastAsia="Aptos"/>
                <w:b/>
                <w:color w:val="19324D"/>
                <w:sz w:val="30"/>
              </w:rPr>
              <w:t>EthicLaw studia se la governance possa diventare una proprietà verificabile dell’architettura inferenziale, invece di restare una promessa incorporata in pesi monolitici.</w:t>
            </w:r>
          </w:p>
        </w:tc>
      </w:tr>
    </w:tbl>
    <w:p>
      <w:pPr>
        <w:spacing w:before="520" w:after="80"/>
      </w:pPr>
      <w:r>
        <w:rPr>
          <w:rFonts w:ascii="Aptos" w:hAnsi="Aptos" w:eastAsia="Aptos"/>
          <w:color w:val="6B7280"/>
          <w:sz w:val="20"/>
        </w:rPr>
        <w:t>Versione 0.1 · 2 agosto 2026</w:t>
      </w:r>
    </w:p>
    <w:p>
      <w:r>
        <w:rPr>
          <w:rFonts w:ascii="Aptos" w:hAnsi="Aptos" w:eastAsia="Aptos"/>
          <w:i/>
          <w:color w:val="6B7280"/>
          <w:sz w:val="20"/>
        </w:rPr>
        <w:t>Documento evolutivo del programma di ricerca</w:t>
      </w:r>
    </w:p>
    <w:p>
      <w:r>
        <w:br w:type="page"/>
      </w:r>
    </w:p>
    <w:p>
      <w:pPr>
        <w:pStyle w:val="Heading1"/>
      </w:pPr>
      <w:r>
        <w:t>1. La tesi di ricerca</w:t>
      </w:r>
    </w:p>
    <w:p>
      <w:pPr>
        <w:pStyle w:val="Lead"/>
      </w:pPr>
      <w:r>
        <w:t>I sistemi di inferenza complessi diventano realmente governabili soltanto quando osservazione, valutazione, intervento e responsabilità sono proprietà esplicite e verificabili dell’architettura.</w:t>
      </w:r>
    </w:p>
    <w:tbl>
      <w:tblPr>
        <w:tblW w:type="auto" w:w="0"/>
        <w:jc w:val="center"/>
        <w:tblLayout w:type="fixed"/>
        <w:tblLook w:firstColumn="1" w:firstRow="1" w:lastColumn="0" w:lastRow="0" w:noHBand="0" w:noVBand="1" w:val="04A0"/>
        <w:tblBorders>
          <w:top w:val="single" w:sz="5" w:space="0" w:color="AFC4DD"/>
          <w:left w:val="single" w:sz="5" w:space="0" w:color="AFC4DD"/>
          <w:bottom w:val="single" w:sz="5" w:space="0" w:color="AFC4DD"/>
          <w:right w:val="single" w:sz="5" w:space="0" w:color="AFC4DD"/>
          <w:insideH w:val="single" w:sz="5" w:space="0" w:color="AFC4DD"/>
          <w:insideV w:val="single" w:sz="5" w:space="0" w:color="AFC4DD"/>
        </w:tblBorders>
      </w:tblPr>
      <w:tblGrid>
        <w:gridCol w:w="9878"/>
      </w:tblGrid>
      <w:tr>
        <w:tc>
          <w:tcPr>
            <w:tcW w:type="dxa" w:w="9878"/>
            <w:shd w:fill="EAF1F8"/>
            <w:tcMar>
              <w:top w:w="160" w:type="dxa"/>
              <w:start w:w="180" w:type="dxa"/>
              <w:bottom w:w="160" w:type="dxa"/>
              <w:end w:w="180" w:type="dxa"/>
            </w:tcMar>
          </w:tcPr>
          <w:p>
            <w:pPr>
              <w:spacing w:after="60"/>
            </w:pPr>
            <w:r>
              <w:rPr>
                <w:rFonts w:ascii="Aptos" w:hAnsi="Aptos" w:eastAsia="Aptos"/>
                <w:b/>
                <w:color w:val="19324D"/>
                <w:sz w:val="21"/>
              </w:rPr>
              <w:t>Tesi centrale</w:t>
            </w:r>
          </w:p>
          <w:p>
            <w:pPr>
              <w:spacing w:after="0" w:line="259" w:lineRule="auto"/>
            </w:pPr>
            <w:r>
              <w:rPr>
                <w:rFonts w:ascii="Aptos" w:hAnsi="Aptos" w:eastAsia="Aptos"/>
                <w:color w:val="1F2937"/>
                <w:sz w:val="20"/>
              </w:rPr>
              <w:t>EthicLaw non assume che la modularità sia sempre superiore. Verifica dove una decomposizione funzionale, un supervisore autoritativo e un modulo normativo separabile producano benefici misurabili di controllo, attribuzione, sostituibilità e audit sufficienti a giustificarne l’overhead.</w:t>
            </w:r>
          </w:p>
        </w:tc>
      </w:tr>
    </w:tbl>
    <w:p>
      <w:pPr>
        <w:spacing w:after="0"/>
      </w:pPr>
    </w:p>
    <w:p>
      <w:r>
        <w:t>Il programma nasce dall’etica, perché il comportamento etico mette in evidenza con particolare forza i limiti di un sistema nel quale valori, capacità e controllo sono distribuiti negli stessi pesi. Il problema scientifico è però più generale: comprendere se e a quali condizioni un processo inferenziale possa essere governato da un’architettura osservabile, verificabile e capace di intervento vincolante.</w:t>
      </w:r>
    </w:p>
    <w:p>
      <w:r>
        <w:t>Il risultato atteso non è una morale universale né un nuovo filtro. È una reference architecture sperimentale che separa il percorso operativo dal percorso di supervisione, rende visibili le evidenze interne disponibili, collega le decisioni alle azioni di enforcement e dichiara con precisione i limiti delle proprie garanzie.</w:t>
      </w:r>
    </w:p>
    <w:p>
      <w:pPr>
        <w:pStyle w:val="Heading1"/>
      </w:pPr>
      <w:r>
        <w:t>2. Origine neuro-ispirata, autonomia ingegneristica</w:t>
      </w:r>
    </w:p>
    <w:p>
      <w:r>
        <w:t>EthicLaw deriva da un parallelismo con il sistema di governo del corpo umano: funzioni specializzate operano in parallelo, scambiano segnali e rimangono coordinate da meccanismi di controllo, inibizione e monitoraggio. Questa osservazione ha suggerito la prima decomposizione in componenti percettive, epistemiche, sociali, normative, generative e metacognitive.</w:t>
      </w:r>
    </w:p>
    <w:p>
      <w:r>
        <w:t>La similitudine neurologica è una fonte di ipotesi, non una prova e non un progetto di riproduzione del cervello. L’architettura viene successivamente estesa razionalmente: il canale privilegiato, l’autorità vincolante del supervisore, i contratti tipizzati, la sostituibilità e l’audit sono scelte di systems engineering introdotte per ottenere proprietà verificabili che non hanno necessariamente un equivalente biologico diretto.</w:t>
      </w:r>
    </w:p>
    <w:tbl>
      <w:tblPr>
        <w:tblW w:type="auto" w:w="0"/>
        <w:jc w:val="center"/>
        <w:tblLayout w:type="fixed"/>
        <w:tblLook w:firstColumn="1" w:firstRow="1" w:lastColumn="0" w:lastRow="0" w:noHBand="0" w:noVBand="1" w:val="04A0"/>
        <w:tblBorders>
          <w:top w:val="single" w:sz="5" w:space="0" w:color="AFC4DD"/>
          <w:left w:val="single" w:sz="5" w:space="0" w:color="AFC4DD"/>
          <w:bottom w:val="single" w:sz="5" w:space="0" w:color="AFC4DD"/>
          <w:right w:val="single" w:sz="5" w:space="0" w:color="AFC4DD"/>
          <w:insideH w:val="single" w:sz="5" w:space="0" w:color="AFC4DD"/>
          <w:insideV w:val="single" w:sz="5" w:space="0" w:color="AFC4DD"/>
        </w:tblBorders>
      </w:tblPr>
      <w:tblGrid>
        <w:gridCol w:w="9878"/>
      </w:tblGrid>
      <w:tr>
        <w:tc>
          <w:tcPr>
            <w:tcW w:type="dxa" w:w="9878"/>
            <w:shd w:fill="EAF1F8"/>
            <w:tcMar>
              <w:top w:w="160" w:type="dxa"/>
              <w:start w:w="180" w:type="dxa"/>
              <w:bottom w:w="160" w:type="dxa"/>
              <w:end w:w="180" w:type="dxa"/>
            </w:tcMar>
          </w:tcPr>
          <w:p>
            <w:pPr>
              <w:spacing w:after="60"/>
            </w:pPr>
            <w:r>
              <w:rPr>
                <w:rFonts w:ascii="Aptos" w:hAnsi="Aptos" w:eastAsia="Aptos"/>
                <w:b/>
                <w:color w:val="19324D"/>
                <w:sz w:val="21"/>
              </w:rPr>
              <w:t>Regola metodologica</w:t>
            </w:r>
          </w:p>
          <w:p>
            <w:pPr>
              <w:spacing w:after="0" w:line="259" w:lineRule="auto"/>
            </w:pPr>
            <w:r>
              <w:rPr>
                <w:rFonts w:ascii="Aptos" w:hAnsi="Aptos" w:eastAsia="Aptos"/>
                <w:color w:val="1F2937"/>
                <w:sz w:val="20"/>
              </w:rPr>
              <w:t>L’analogia biologica giustifica domande di ricerca e scelte iniziali; soltanto esperimenti, confronti e misure possono giustificare la validità dell’architettura computazionale.</w:t>
            </w:r>
          </w:p>
        </w:tc>
      </w:tr>
    </w:tbl>
    <w:p>
      <w:pPr>
        <w:spacing w:after="0"/>
      </w:pPr>
    </w:p>
    <w:p>
      <w:pPr>
        <w:pStyle w:val="Heading1"/>
      </w:pPr>
      <w:r>
        <w:t>3. Il problema: capacità senza governabilità</w:t>
      </w:r>
    </w:p>
    <w:p>
      <w:r>
        <w:t>Nei modelli monolitici, competenze, preferenze, regole e meccanismi di controllo sono distribuiti in un unico spazio parametrico. Questa integrazione può essere efficiente, ma rende difficile isolare il contributo di una funzione, aggiornare un solo dominio normativo, attribuire una decisione a un componente operativo e verificare dall’esterno che un intervento di sicurezza sia stato realmente eseguito.</w:t>
      </w:r>
    </w:p>
    <w:p>
      <w:pPr>
        <w:pStyle w:val="ListBullet"/>
        <w:spacing w:after="70" w:line="259" w:lineRule="auto"/>
      </w:pPr>
      <w:r>
        <w:rPr>
          <w:rFonts w:ascii="Aptos" w:hAnsi="Aptos" w:eastAsia="Aptos"/>
        </w:rPr>
        <w:t>La trasparenza dei pesi non equivale a verificabilità operativa.</w:t>
      </w:r>
    </w:p>
    <w:p>
      <w:pPr>
        <w:pStyle w:val="ListBullet"/>
        <w:spacing w:after="70" w:line="259" w:lineRule="auto"/>
      </w:pPr>
      <w:r>
        <w:rPr>
          <w:rFonts w:ascii="Aptos" w:hAnsi="Aptos" w:eastAsia="Aptos"/>
        </w:rPr>
        <w:t>Un punteggio o un guardrail esterno non equivale a controllo degli stati interni e della topologia.</w:t>
      </w:r>
    </w:p>
    <w:p>
      <w:pPr>
        <w:pStyle w:val="ListBullet"/>
        <w:spacing w:after="70" w:line="259" w:lineRule="auto"/>
      </w:pPr>
      <w:r>
        <w:rPr>
          <w:rFonts w:ascii="Aptos" w:hAnsi="Aptos" w:eastAsia="Aptos"/>
        </w:rPr>
        <w:t>Un audit trail non equivale a evidenza se può essere vuoto, incompleto o scollegato dall’azione eseguita.</w:t>
      </w:r>
    </w:p>
    <w:p>
      <w:pPr>
        <w:pStyle w:val="ListBullet"/>
        <w:spacing w:after="70" w:line="259" w:lineRule="auto"/>
      </w:pPr>
      <w:r>
        <w:rPr>
          <w:rFonts w:ascii="Aptos" w:hAnsi="Aptos" w:eastAsia="Aptos"/>
        </w:rPr>
        <w:t>Una policy configurabile non equivale a un modulo normativo sostituibile e qualificabile in isolamento.</w:t>
      </w:r>
    </w:p>
    <w:p>
      <w:pPr>
        <w:pStyle w:val="ListBullet"/>
        <w:spacing w:after="70" w:line="259" w:lineRule="auto"/>
      </w:pPr>
      <w:r>
        <w:rPr>
          <w:rFonts w:ascii="Aptos" w:hAnsi="Aptos" w:eastAsia="Aptos"/>
        </w:rPr>
        <w:t>Una supervisione dichiarata non equivale a una supervisione non bypassabile.</w:t>
      </w:r>
    </w:p>
    <w:p>
      <w:pPr>
        <w:pStyle w:val="Heading1"/>
      </w:pPr>
      <w:r>
        <w:t>4. Il perimetro primario</w:t>
      </w:r>
    </w:p>
    <w:p>
      <w:r>
        <w:t>EthicLaw è orientato principalmente a sistemi di inferenza privati o statutari nei quali il soggetto responsabile controlla l’infrastruttura e dispone della visibilità degli stati computazionali interni. In questo perimetro possono essere osservati input, rappresentazioni intermedie, routing, moduli, gateway e output; possono inoltre essere imposti stop, rerouting, correzioni e blocchi prima del rilascio.</w:t>
      </w:r>
    </w:p>
    <w:tbl>
      <w:tblPr>
        <w:tblW w:type="auto" w:w="0"/>
        <w:jc w:val="center"/>
        <w:tblLayout w:type="fixed"/>
        <w:tblLook w:firstColumn="1" w:firstRow="1" w:lastColumn="0" w:lastRow="0" w:noHBand="0" w:noVBand="1" w:val="04A0"/>
        <w:tblBorders>
          <w:top w:val="single" w:sz="5" w:space="0" w:color="B9C7D5"/>
          <w:left w:val="single" w:sz="5" w:space="0" w:color="B9C7D5"/>
          <w:bottom w:val="single" w:sz="5" w:space="0" w:color="B9C7D5"/>
          <w:right w:val="single" w:sz="5" w:space="0" w:color="B9C7D5"/>
          <w:insideH w:val="single" w:sz="5" w:space="0" w:color="B9C7D5"/>
          <w:insideV w:val="single" w:sz="5" w:space="0" w:color="B9C7D5"/>
        </w:tblBorders>
      </w:tblPr>
      <w:tblGrid>
        <w:gridCol w:w="2469"/>
        <w:gridCol w:w="2469"/>
        <w:gridCol w:w="2469"/>
        <w:gridCol w:w="2469"/>
      </w:tblGrid>
      <w:tr>
        <w:trPr>
          <w:tblHeader w:val="true"/>
          <w:cantSplit/>
        </w:trPr>
        <w:tc>
          <w:tcPr>
            <w:tcW w:type="dxa" w:w="792"/>
            <w:shd w:fill="19324D"/>
            <w:tcMar>
              <w:top w:w="120" w:type="dxa"/>
              <w:start w:w="120" w:type="dxa"/>
              <w:bottom w:w="120" w:type="dxa"/>
              <w:end w:w="120" w:type="dxa"/>
            </w:tcMar>
            <w:vAlign w:val="center"/>
          </w:tcPr>
          <w:p>
            <w:pPr>
              <w:spacing w:after="0"/>
              <w:jc w:val="center"/>
            </w:pPr>
            <w:r>
              <w:rPr>
                <w:rFonts w:ascii="Aptos" w:hAnsi="Aptos" w:eastAsia="Aptos"/>
                <w:b/>
                <w:color w:val="FFFFFF"/>
                <w:sz w:val="16"/>
              </w:rPr>
              <w:t>Classe</w:t>
            </w:r>
          </w:p>
        </w:tc>
        <w:tc>
          <w:tcPr>
            <w:tcW w:type="dxa" w:w="1944"/>
            <w:shd w:fill="19324D"/>
            <w:tcMar>
              <w:top w:w="120" w:type="dxa"/>
              <w:start w:w="120" w:type="dxa"/>
              <w:bottom w:w="120" w:type="dxa"/>
              <w:end w:w="120" w:type="dxa"/>
            </w:tcMar>
            <w:vAlign w:val="center"/>
          </w:tcPr>
          <w:p>
            <w:pPr>
              <w:spacing w:after="0"/>
              <w:jc w:val="center"/>
            </w:pPr>
            <w:r>
              <w:rPr>
                <w:rFonts w:ascii="Aptos" w:hAnsi="Aptos" w:eastAsia="Aptos"/>
                <w:b/>
                <w:color w:val="FFFFFF"/>
                <w:sz w:val="16"/>
              </w:rPr>
              <w:t>Configurazione</w:t>
            </w:r>
          </w:p>
        </w:tc>
        <w:tc>
          <w:tcPr>
            <w:tcW w:type="dxa" w:w="3240"/>
            <w:shd w:fill="19324D"/>
            <w:tcMar>
              <w:top w:w="120" w:type="dxa"/>
              <w:start w:w="120" w:type="dxa"/>
              <w:bottom w:w="120" w:type="dxa"/>
              <w:end w:w="120" w:type="dxa"/>
            </w:tcMar>
            <w:vAlign w:val="center"/>
          </w:tcPr>
          <w:p>
            <w:pPr>
              <w:spacing w:after="0"/>
              <w:jc w:val="center"/>
            </w:pPr>
            <w:r>
              <w:rPr>
                <w:rFonts w:ascii="Aptos" w:hAnsi="Aptos" w:eastAsia="Aptos"/>
                <w:b/>
                <w:color w:val="FFFFFF"/>
                <w:sz w:val="16"/>
              </w:rPr>
              <w:t>Osservabilità</w:t>
            </w:r>
          </w:p>
        </w:tc>
        <w:tc>
          <w:tcPr>
            <w:tcW w:type="dxa" w:w="3960"/>
            <w:shd w:fill="19324D"/>
            <w:tcMar>
              <w:top w:w="120" w:type="dxa"/>
              <w:start w:w="120" w:type="dxa"/>
              <w:bottom w:w="120" w:type="dxa"/>
              <w:end w:w="120" w:type="dxa"/>
            </w:tcMar>
            <w:vAlign w:val="center"/>
          </w:tcPr>
          <w:p>
            <w:pPr>
              <w:spacing w:after="0"/>
              <w:jc w:val="center"/>
            </w:pPr>
            <w:r>
              <w:rPr>
                <w:rFonts w:ascii="Aptos" w:hAnsi="Aptos" w:eastAsia="Aptos"/>
                <w:b/>
                <w:color w:val="FFFFFF"/>
                <w:sz w:val="16"/>
              </w:rPr>
              <w:t>Garanzie ammissibili</w:t>
            </w:r>
          </w:p>
        </w:tc>
      </w:tr>
      <w:tr>
        <w:trPr>
          <w:cantSplit/>
        </w:trPr>
        <w:tc>
          <w:tcPr>
            <w:tcW w:type="dxa" w:w="792"/>
            <w:tcMar>
              <w:top w:w="100" w:type="dxa"/>
              <w:start w:w="110" w:type="dxa"/>
              <w:bottom w:w="100" w:type="dxa"/>
              <w:end w:w="110" w:type="dxa"/>
            </w:tcMar>
            <w:vAlign w:val="center"/>
          </w:tcPr>
          <w:p>
            <w:pPr>
              <w:spacing w:after="0" w:line="245" w:lineRule="auto"/>
              <w:jc w:val="center"/>
            </w:pPr>
            <w:r>
              <w:rPr>
                <w:rFonts w:ascii="Aptos" w:hAnsi="Aptos" w:eastAsia="Aptos"/>
                <w:color w:val="1F2937"/>
                <w:sz w:val="16"/>
              </w:rPr>
              <w:t>A</w:t>
            </w:r>
          </w:p>
        </w:tc>
        <w:tc>
          <w:tcPr>
            <w:tcW w:type="dxa" w:w="1944"/>
            <w:tcMar>
              <w:top w:w="100" w:type="dxa"/>
              <w:start w:w="110" w:type="dxa"/>
              <w:bottom w:w="100" w:type="dxa"/>
              <w:end w:w="110" w:type="dxa"/>
            </w:tcMar>
            <w:vAlign w:val="center"/>
          </w:tcPr>
          <w:p>
            <w:pPr>
              <w:spacing w:after="0" w:line="245" w:lineRule="auto"/>
              <w:jc w:val="left"/>
            </w:pPr>
            <w:r>
              <w:rPr>
                <w:rFonts w:ascii="Aptos" w:hAnsi="Aptos" w:eastAsia="Aptos"/>
                <w:color w:val="1F2937"/>
                <w:sz w:val="16"/>
              </w:rPr>
              <w:t>Full observability</w:t>
            </w:r>
          </w:p>
        </w:tc>
        <w:tc>
          <w:tcPr>
            <w:tcW w:type="dxa" w:w="3240"/>
            <w:tcMar>
              <w:top w:w="100" w:type="dxa"/>
              <w:start w:w="110" w:type="dxa"/>
              <w:bottom w:w="100" w:type="dxa"/>
              <w:end w:w="110" w:type="dxa"/>
            </w:tcMar>
            <w:vAlign w:val="center"/>
          </w:tcPr>
          <w:p>
            <w:pPr>
              <w:spacing w:after="0" w:line="245" w:lineRule="auto"/>
              <w:jc w:val="left"/>
            </w:pPr>
            <w:r>
              <w:rPr>
                <w:rFonts w:ascii="Aptos" w:hAnsi="Aptos" w:eastAsia="Aptos"/>
                <w:color w:val="1F2937"/>
                <w:sz w:val="16"/>
              </w:rPr>
              <w:t>Input, tensori, moduli, routing, gateway e output.</w:t>
            </w:r>
          </w:p>
        </w:tc>
        <w:tc>
          <w:tcPr>
            <w:tcW w:type="dxa" w:w="3960"/>
            <w:tcMar>
              <w:top w:w="100" w:type="dxa"/>
              <w:start w:w="110" w:type="dxa"/>
              <w:bottom w:w="100" w:type="dxa"/>
              <w:end w:w="110" w:type="dxa"/>
            </w:tcMar>
            <w:vAlign w:val="center"/>
          </w:tcPr>
          <w:p>
            <w:pPr>
              <w:spacing w:after="0" w:line="245" w:lineRule="auto"/>
              <w:jc w:val="left"/>
            </w:pPr>
            <w:r>
              <w:rPr>
                <w:rFonts w:ascii="Aptos" w:hAnsi="Aptos" w:eastAsia="Aptos"/>
                <w:color w:val="1F2937"/>
                <w:sz w:val="16"/>
              </w:rPr>
              <w:t>Attribuzione, override, correzione interna, audit ed enforcement completo.</w:t>
            </w:r>
          </w:p>
        </w:tc>
      </w:tr>
      <w:tr>
        <w:trPr>
          <w:cantSplit/>
        </w:trPr>
        <w:tc>
          <w:tcPr>
            <w:tcW w:type="dxa" w:w="792"/>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6"/>
              </w:rPr>
              <w:t>B</w:t>
            </w:r>
          </w:p>
        </w:tc>
        <w:tc>
          <w:tcPr>
            <w:tcW w:type="dxa" w:w="1944"/>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6"/>
              </w:rPr>
              <w:t>Controlled interface</w:t>
            </w:r>
          </w:p>
        </w:tc>
        <w:tc>
          <w:tcPr>
            <w:tcW w:type="dxa" w:w="3240"/>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6"/>
              </w:rPr>
              <w:t>Input/output e hook o telemetria selezionata.</w:t>
            </w:r>
          </w:p>
        </w:tc>
        <w:tc>
          <w:tcPr>
            <w:tcW w:type="dxa" w:w="3960"/>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6"/>
              </w:rPr>
              <w:t>Garanzie limitate ai segnali e alle azioni esposte.</w:t>
            </w:r>
          </w:p>
        </w:tc>
      </w:tr>
      <w:tr>
        <w:trPr>
          <w:cantSplit/>
        </w:trPr>
        <w:tc>
          <w:tcPr>
            <w:tcW w:type="dxa" w:w="792"/>
            <w:tcMar>
              <w:top w:w="100" w:type="dxa"/>
              <w:start w:w="110" w:type="dxa"/>
              <w:bottom w:w="100" w:type="dxa"/>
              <w:end w:w="110" w:type="dxa"/>
            </w:tcMar>
            <w:vAlign w:val="center"/>
          </w:tcPr>
          <w:p>
            <w:pPr>
              <w:spacing w:after="0" w:line="245" w:lineRule="auto"/>
              <w:jc w:val="center"/>
            </w:pPr>
            <w:r>
              <w:rPr>
                <w:rFonts w:ascii="Aptos" w:hAnsi="Aptos" w:eastAsia="Aptos"/>
                <w:color w:val="1F2937"/>
                <w:sz w:val="16"/>
              </w:rPr>
              <w:t>C</w:t>
            </w:r>
          </w:p>
        </w:tc>
        <w:tc>
          <w:tcPr>
            <w:tcW w:type="dxa" w:w="1944"/>
            <w:tcMar>
              <w:top w:w="100" w:type="dxa"/>
              <w:start w:w="110" w:type="dxa"/>
              <w:bottom w:w="100" w:type="dxa"/>
              <w:end w:w="110" w:type="dxa"/>
            </w:tcMar>
            <w:vAlign w:val="center"/>
          </w:tcPr>
          <w:p>
            <w:pPr>
              <w:spacing w:after="0" w:line="245" w:lineRule="auto"/>
              <w:jc w:val="left"/>
            </w:pPr>
            <w:r>
              <w:rPr>
                <w:rFonts w:ascii="Aptos" w:hAnsi="Aptos" w:eastAsia="Aptos"/>
                <w:color w:val="1F2937"/>
                <w:sz w:val="16"/>
              </w:rPr>
              <w:t>Black-box adapter</w:t>
            </w:r>
          </w:p>
        </w:tc>
        <w:tc>
          <w:tcPr>
            <w:tcW w:type="dxa" w:w="3240"/>
            <w:tcMar>
              <w:top w:w="100" w:type="dxa"/>
              <w:start w:w="110" w:type="dxa"/>
              <w:bottom w:w="100" w:type="dxa"/>
              <w:end w:w="110" w:type="dxa"/>
            </w:tcMar>
            <w:vAlign w:val="center"/>
          </w:tcPr>
          <w:p>
            <w:pPr>
              <w:spacing w:after="0" w:line="245" w:lineRule="auto"/>
              <w:jc w:val="left"/>
            </w:pPr>
            <w:r>
              <w:rPr>
                <w:rFonts w:ascii="Aptos" w:hAnsi="Aptos" w:eastAsia="Aptos"/>
                <w:color w:val="1F2937"/>
                <w:sz w:val="16"/>
              </w:rPr>
              <w:t>Prompt, output e metadati API.</w:t>
            </w:r>
          </w:p>
        </w:tc>
        <w:tc>
          <w:tcPr>
            <w:tcW w:type="dxa" w:w="3960"/>
            <w:tcMar>
              <w:top w:w="100" w:type="dxa"/>
              <w:start w:w="110" w:type="dxa"/>
              <w:bottom w:w="100" w:type="dxa"/>
              <w:end w:w="110" w:type="dxa"/>
            </w:tcMar>
            <w:vAlign w:val="center"/>
          </w:tcPr>
          <w:p>
            <w:pPr>
              <w:spacing w:after="0" w:line="245" w:lineRule="auto"/>
              <w:jc w:val="left"/>
            </w:pPr>
            <w:r>
              <w:rPr>
                <w:rFonts w:ascii="Aptos" w:hAnsi="Aptos" w:eastAsia="Aptos"/>
                <w:color w:val="1F2937"/>
                <w:sz w:val="16"/>
              </w:rPr>
              <w:t>Filtro e blocco esterno; nessuna prova sugli stati nascosti o sulla topologia.</w:t>
            </w:r>
          </w:p>
        </w:tc>
      </w:tr>
    </w:tbl>
    <w:p>
      <w:pPr>
        <w:spacing w:after="0"/>
      </w:pPr>
    </w:p>
    <w:p>
      <w:r>
        <w:t>L’interfaccia può essere indipendente dal provider; il livello di garanzia non può esserlo. EthicLaw definisce quindi un Assurance Envelope: ciò che il supervisore può osservare, ciò che può comandare e ciò che può responsabilmente affermare per una specifica integrazione.</w:t>
      </w:r>
    </w:p>
    <w:p>
      <w:pPr>
        <w:pStyle w:val="Heading1"/>
      </w:pPr>
      <w:r>
        <w:t>5. L’etica come primo caso, non come scorciatoia</w:t>
      </w:r>
    </w:p>
    <w:p>
      <w:r>
        <w:t>L’etica è il primo caso sperimentale perché combina pluralità di principi, conflitti, dipendenza dal contesto, assenza di un ground truth unico e conseguenze sociali rilevanti. Proprio per questo non può essere trattata come una semplice funzione di loss né come una proprietà neutrale del sistema.</w:t>
      </w:r>
    </w:p>
    <w:p>
      <w:r>
        <w:t>EthicLaw non stabilisce quali valori siano corretti. Distingue il Governance Core, che osserva e applica i meccanismi di controllo, dal Normative Module, che valuta un corpus, e dal Normative Package, che dichiara principi, ambito, soglie, versioni, conflitti e condizioni di non applicabilità.</w:t>
      </w:r>
    </w:p>
    <w:tbl>
      <w:tblPr>
        <w:tblW w:type="auto" w:w="0"/>
        <w:jc w:val="center"/>
        <w:tblLayout w:type="fixed"/>
        <w:tblLook w:firstColumn="1" w:firstRow="1" w:lastColumn="0" w:lastRow="0" w:noHBand="0" w:noVBand="1" w:val="04A0"/>
        <w:tblBorders>
          <w:top w:val="single" w:sz="5" w:space="0" w:color="AFC4DD"/>
          <w:left w:val="single" w:sz="5" w:space="0" w:color="AFC4DD"/>
          <w:bottom w:val="single" w:sz="5" w:space="0" w:color="AFC4DD"/>
          <w:right w:val="single" w:sz="5" w:space="0" w:color="AFC4DD"/>
          <w:insideH w:val="single" w:sz="5" w:space="0" w:color="AFC4DD"/>
          <w:insideV w:val="single" w:sz="5" w:space="0" w:color="AFC4DD"/>
        </w:tblBorders>
      </w:tblPr>
      <w:tblGrid>
        <w:gridCol w:w="9878"/>
      </w:tblGrid>
      <w:tr>
        <w:tc>
          <w:tcPr>
            <w:tcW w:type="dxa" w:w="9878"/>
            <w:shd w:fill="EAF1F8"/>
            <w:tcMar>
              <w:top w:w="160" w:type="dxa"/>
              <w:start w:w="180" w:type="dxa"/>
              <w:bottom w:w="160" w:type="dxa"/>
              <w:end w:w="180" w:type="dxa"/>
            </w:tcMar>
          </w:tcPr>
          <w:p>
            <w:pPr>
              <w:spacing w:after="60"/>
            </w:pPr>
            <w:r>
              <w:rPr>
                <w:rFonts w:ascii="Aptos" w:hAnsi="Aptos" w:eastAsia="Aptos"/>
                <w:b/>
                <w:color w:val="19324D"/>
                <w:sz w:val="21"/>
              </w:rPr>
              <w:t>Confine del claim</w:t>
            </w:r>
          </w:p>
          <w:p>
            <w:pPr>
              <w:spacing w:after="0" w:line="259" w:lineRule="auto"/>
            </w:pPr>
            <w:r>
              <w:rPr>
                <w:rFonts w:ascii="Aptos" w:hAnsi="Aptos" w:eastAsia="Aptos"/>
                <w:color w:val="1F2937"/>
                <w:sz w:val="20"/>
              </w:rPr>
              <w:t>La stessa architettura può essere applicabile in linea di principio a diritto, deontologia, sicurezza, sanità, finanza o policy aziendali. Questa possibilità non è ancora una proprietà dimostrata: ogni trasferimento di dominio richiede metriche, baseline, package e analisi dell’overhead propri.</w:t>
            </w:r>
          </w:p>
        </w:tc>
      </w:tr>
    </w:tbl>
    <w:p>
      <w:pPr>
        <w:spacing w:after="0"/>
      </w:pPr>
    </w:p>
    <w:p>
      <w:pPr>
        <w:pStyle w:val="Heading1"/>
      </w:pPr>
      <w:r>
        <w:t>6. I principi del programma</w:t>
      </w:r>
    </w:p>
    <w:p>
      <w:pPr>
        <w:pStyle w:val="ManifestoPrinciple"/>
      </w:pPr>
      <w:r>
        <w:rPr>
          <w:rFonts w:ascii="Aptos" w:hAnsi="Aptos" w:eastAsia="Aptos"/>
          <w:b/>
          <w:color w:val="19324D"/>
        </w:rPr>
        <w:t xml:space="preserve">1. Governance come proprietà architetturale. </w:t>
      </w:r>
      <w:r>
        <w:rPr>
          <w:rFonts w:ascii="Aptos" w:hAnsi="Aptos" w:eastAsia="Aptos"/>
        </w:rPr>
        <w:t>Osservazione, decisione ed enforcement devono essere separabili, testabili e tracciabili.</w:t>
      </w:r>
    </w:p>
    <w:p>
      <w:pPr>
        <w:pStyle w:val="ManifestoPrinciple"/>
      </w:pPr>
      <w:r>
        <w:rPr>
          <w:rFonts w:ascii="Aptos" w:hAnsi="Aptos" w:eastAsia="Aptos"/>
          <w:b/>
          <w:color w:val="19324D"/>
        </w:rPr>
        <w:t xml:space="preserve">2. Autorità proporzionata alla responsabilità. </w:t>
      </w:r>
      <w:r>
        <w:rPr>
          <w:rFonts w:ascii="Aptos" w:hAnsi="Aptos" w:eastAsia="Aptos"/>
        </w:rPr>
        <w:t>Un supervisore che risponde della sicurezza deve poter impartire ordini vincolanti e verificarne l’esecuzione.</w:t>
      </w:r>
    </w:p>
    <w:p>
      <w:pPr>
        <w:pStyle w:val="ManifestoPrinciple"/>
      </w:pPr>
      <w:r>
        <w:rPr>
          <w:rFonts w:ascii="Aptos" w:hAnsi="Aptos" w:eastAsia="Aptos"/>
          <w:b/>
          <w:color w:val="19324D"/>
        </w:rPr>
        <w:t xml:space="preserve">3. Garanzie limitate dall’osservabilità. </w:t>
      </w:r>
      <w:r>
        <w:rPr>
          <w:rFonts w:ascii="Aptos" w:hAnsi="Aptos" w:eastAsia="Aptos"/>
        </w:rPr>
        <w:t>Nessuna interfaccia universale autorizza claim uniformi su sistemi con accessi differenti.</w:t>
      </w:r>
    </w:p>
    <w:p>
      <w:pPr>
        <w:pStyle w:val="ManifestoPrinciple"/>
      </w:pPr>
      <w:r>
        <w:rPr>
          <w:rFonts w:ascii="Aptos" w:hAnsi="Aptos" w:eastAsia="Aptos"/>
          <w:b/>
          <w:color w:val="19324D"/>
        </w:rPr>
        <w:t xml:space="preserve">4. Modularità sostanziale. </w:t>
      </w:r>
      <w:r>
        <w:rPr>
          <w:rFonts w:ascii="Aptos" w:hAnsi="Aptos" w:eastAsia="Aptos"/>
        </w:rPr>
        <w:t>Un modulo è significativo solo se la sua funzione è misurabile, il suo confine è operativo e la sua rimozione o sostituzione produce effetti verificabili.</w:t>
      </w:r>
    </w:p>
    <w:p>
      <w:pPr>
        <w:pStyle w:val="ManifestoPrinciple"/>
      </w:pPr>
      <w:r>
        <w:rPr>
          <w:rFonts w:ascii="Aptos" w:hAnsi="Aptos" w:eastAsia="Aptos"/>
          <w:b/>
          <w:color w:val="19324D"/>
        </w:rPr>
        <w:t xml:space="preserve">5. Principi non compensatori. </w:t>
      </w:r>
      <w:r>
        <w:rPr>
          <w:rFonts w:ascii="Aptos" w:hAnsi="Aptos" w:eastAsia="Aptos"/>
        </w:rPr>
        <w:t>Una violazione critica non può essere cancellata da risultati migliori su altri principi; la validità della valutazione è controllata separatamente.</w:t>
      </w:r>
    </w:p>
    <w:p>
      <w:pPr>
        <w:pStyle w:val="ManifestoPrinciple"/>
      </w:pPr>
      <w:r>
        <w:rPr>
          <w:rFonts w:ascii="Aptos" w:hAnsi="Aptos" w:eastAsia="Aptos"/>
          <w:b/>
          <w:color w:val="19324D"/>
        </w:rPr>
        <w:t xml:space="preserve">6. Costi visibili. </w:t>
      </w:r>
      <w:r>
        <w:rPr>
          <w:rFonts w:ascii="Aptos" w:hAnsi="Aptos" w:eastAsia="Aptos"/>
        </w:rPr>
        <w:t>Parametri, memoria, latenza, energia, falsi positivi e complessità di gestione sono parte del risultato, non note a margine.</w:t>
      </w:r>
    </w:p>
    <w:p>
      <w:pPr>
        <w:pStyle w:val="ManifestoPrinciple"/>
      </w:pPr>
      <w:r>
        <w:rPr>
          <w:rFonts w:ascii="Aptos" w:hAnsi="Aptos" w:eastAsia="Aptos"/>
          <w:b/>
          <w:color w:val="19324D"/>
        </w:rPr>
        <w:t xml:space="preserve">7. Claim condizionali. </w:t>
      </w:r>
      <w:r>
        <w:rPr>
          <w:rFonts w:ascii="Aptos" w:hAnsi="Aptos" w:eastAsia="Aptos"/>
        </w:rPr>
        <w:t>Ogni vantaggio vale nel perimetro, nella scala e nelle condizioni misurate; i risultati negativi delimitano la teoria.</w:t>
      </w:r>
    </w:p>
    <w:p>
      <w:pPr>
        <w:pStyle w:val="ManifestoPrinciple"/>
      </w:pPr>
      <w:r>
        <w:rPr>
          <w:rFonts w:ascii="Aptos" w:hAnsi="Aptos" w:eastAsia="Aptos"/>
          <w:b/>
          <w:color w:val="19324D"/>
        </w:rPr>
        <w:t xml:space="preserve">8. Audit come evidenza. </w:t>
      </w:r>
      <w:r>
        <w:rPr>
          <w:rFonts w:ascii="Aptos" w:hAnsi="Aptos" w:eastAsia="Aptos"/>
        </w:rPr>
        <w:t>Il registro deve collegare stato osservato, principio applicato, decisione, comando, esecutore e output effettivamente rilasciato.</w:t>
      </w:r>
    </w:p>
    <w:p>
      <w:pPr>
        <w:pStyle w:val="ManifestoPrinciple"/>
      </w:pPr>
      <w:r>
        <w:rPr>
          <w:rFonts w:ascii="Aptos" w:hAnsi="Aptos" w:eastAsia="Aptos"/>
          <w:b/>
          <w:color w:val="19324D"/>
        </w:rPr>
        <w:t xml:space="preserve">9. Separazione delle autorità. </w:t>
      </w:r>
      <w:r>
        <w:rPr>
          <w:rFonts w:ascii="Aptos" w:hAnsi="Aptos" w:eastAsia="Aptos"/>
        </w:rPr>
        <w:t>Architettura tecnica, contenuto normativo, assurance e ricorso non devono essere controllati dallo stesso soggetto.</w:t>
      </w:r>
    </w:p>
    <w:p>
      <w:pPr>
        <w:pStyle w:val="ManifestoPrinciple"/>
      </w:pPr>
      <w:r>
        <w:rPr>
          <w:rFonts w:ascii="Aptos" w:hAnsi="Aptos" w:eastAsia="Aptos"/>
          <w:b/>
          <w:color w:val="19324D"/>
        </w:rPr>
        <w:t xml:space="preserve">10. Generalizzazione da dimostrare. </w:t>
      </w:r>
      <w:r>
        <w:rPr>
          <w:rFonts w:ascii="Aptos" w:hAnsi="Aptos" w:eastAsia="Aptos"/>
        </w:rPr>
        <w:t>L’etica è il primo caso; nessun nuovo dominio è acquisito senza replica e convenienza misurata.</w:t>
      </w:r>
    </w:p>
    <w:p>
      <w:pPr>
        <w:pStyle w:val="Heading1"/>
      </w:pPr>
      <w:r>
        <w:t>7. Le domande falsificabili</w:t>
      </w:r>
    </w:p>
    <w:tbl>
      <w:tblPr>
        <w:tblW w:type="auto" w:w="0"/>
        <w:jc w:val="center"/>
        <w:tblLayout w:type="fixed"/>
        <w:tblLook w:firstColumn="1" w:firstRow="1" w:lastColumn="0" w:lastRow="0" w:noHBand="0" w:noVBand="1" w:val="04A0"/>
        <w:tblBorders>
          <w:top w:val="single" w:sz="5" w:space="0" w:color="B9C7D5"/>
          <w:left w:val="single" w:sz="5" w:space="0" w:color="B9C7D5"/>
          <w:bottom w:val="single" w:sz="5" w:space="0" w:color="B9C7D5"/>
          <w:right w:val="single" w:sz="5" w:space="0" w:color="B9C7D5"/>
          <w:insideH w:val="single" w:sz="5" w:space="0" w:color="B9C7D5"/>
          <w:insideV w:val="single" w:sz="5" w:space="0" w:color="B9C7D5"/>
        </w:tblBorders>
      </w:tblPr>
      <w:tblGrid>
        <w:gridCol w:w="4939"/>
        <w:gridCol w:w="4939"/>
      </w:tblGrid>
      <w:tr>
        <w:trPr>
          <w:tblHeader w:val="true"/>
          <w:cantSplit/>
        </w:trPr>
        <w:tc>
          <w:tcPr>
            <w:tcW w:type="dxa" w:w="1080"/>
            <w:shd w:fill="19324D"/>
            <w:tcMar>
              <w:top w:w="120" w:type="dxa"/>
              <w:start w:w="120" w:type="dxa"/>
              <w:bottom w:w="120" w:type="dxa"/>
              <w:end w:w="120" w:type="dxa"/>
            </w:tcMar>
            <w:vAlign w:val="center"/>
          </w:tcPr>
          <w:p>
            <w:pPr>
              <w:spacing w:after="0"/>
              <w:jc w:val="center"/>
            </w:pPr>
            <w:r>
              <w:rPr>
                <w:rFonts w:ascii="Aptos" w:hAnsi="Aptos" w:eastAsia="Aptos"/>
                <w:b/>
                <w:color w:val="FFFFFF"/>
                <w:sz w:val="18"/>
              </w:rPr>
              <w:t>ID</w:t>
            </w:r>
          </w:p>
        </w:tc>
        <w:tc>
          <w:tcPr>
            <w:tcW w:type="dxa" w:w="8568"/>
            <w:shd w:fill="19324D"/>
            <w:tcMar>
              <w:top w:w="120" w:type="dxa"/>
              <w:start w:w="120" w:type="dxa"/>
              <w:bottom w:w="120" w:type="dxa"/>
              <w:end w:w="120" w:type="dxa"/>
            </w:tcMar>
            <w:vAlign w:val="center"/>
          </w:tcPr>
          <w:p>
            <w:pPr>
              <w:spacing w:after="0"/>
              <w:jc w:val="center"/>
            </w:pPr>
            <w:r>
              <w:rPr>
                <w:rFonts w:ascii="Aptos" w:hAnsi="Aptos" w:eastAsia="Aptos"/>
                <w:b/>
                <w:color w:val="FFFFFF"/>
                <w:sz w:val="18"/>
              </w:rPr>
              <w:t>Domanda di ricerca</w:t>
            </w:r>
          </w:p>
        </w:tc>
      </w:tr>
      <w:tr>
        <w:trPr>
          <w:cantSplit/>
        </w:trPr>
        <w:tc>
          <w:tcPr>
            <w:tcW w:type="dxa" w:w="1080"/>
            <w:tcMar>
              <w:top w:w="100" w:type="dxa"/>
              <w:start w:w="110" w:type="dxa"/>
              <w:bottom w:w="100" w:type="dxa"/>
              <w:end w:w="110" w:type="dxa"/>
            </w:tcMar>
            <w:vAlign w:val="center"/>
          </w:tcPr>
          <w:p>
            <w:pPr>
              <w:spacing w:after="0" w:line="245" w:lineRule="auto"/>
              <w:jc w:val="center"/>
            </w:pPr>
            <w:r>
              <w:rPr>
                <w:rFonts w:ascii="Aptos" w:hAnsi="Aptos" w:eastAsia="Aptos"/>
                <w:color w:val="1F2937"/>
                <w:sz w:val="18"/>
              </w:rPr>
              <w:t>RQ1</w:t>
            </w:r>
          </w:p>
        </w:tc>
        <w:tc>
          <w:tcPr>
            <w:tcW w:type="dxa" w:w="8568"/>
            <w:tcMar>
              <w:top w:w="100" w:type="dxa"/>
              <w:start w:w="110" w:type="dxa"/>
              <w:bottom w:w="100" w:type="dxa"/>
              <w:end w:w="110" w:type="dxa"/>
            </w:tcMar>
            <w:vAlign w:val="center"/>
          </w:tcPr>
          <w:p>
            <w:pPr>
              <w:spacing w:after="0" w:line="245" w:lineRule="auto"/>
              <w:jc w:val="left"/>
            </w:pPr>
            <w:r>
              <w:rPr>
                <w:rFonts w:ascii="Aptos" w:hAnsi="Aptos" w:eastAsia="Aptos"/>
                <w:color w:val="1F2937"/>
                <w:sz w:val="18"/>
              </w:rPr>
              <w:t>Dove la decomposizione modulare produce un vantaggio rispetto a un modello singolo e dove non lo produce?</w:t>
            </w:r>
          </w:p>
        </w:tc>
      </w:tr>
      <w:tr>
        <w:trPr>
          <w:cantSplit/>
        </w:trPr>
        <w:tc>
          <w:tcPr>
            <w:tcW w:type="dxa" w:w="1080"/>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8"/>
              </w:rPr>
              <w:t>RQ2</w:t>
            </w:r>
          </w:p>
        </w:tc>
        <w:tc>
          <w:tcPr>
            <w:tcW w:type="dxa" w:w="856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8"/>
              </w:rPr>
              <w:t>I confini modulari consentono attribuzione funzionale e causale riproducibile?</w:t>
            </w:r>
          </w:p>
        </w:tc>
      </w:tr>
      <w:tr>
        <w:trPr>
          <w:cantSplit/>
        </w:trPr>
        <w:tc>
          <w:tcPr>
            <w:tcW w:type="dxa" w:w="1080"/>
            <w:tcMar>
              <w:top w:w="100" w:type="dxa"/>
              <w:start w:w="110" w:type="dxa"/>
              <w:bottom w:w="100" w:type="dxa"/>
              <w:end w:w="110" w:type="dxa"/>
            </w:tcMar>
            <w:vAlign w:val="center"/>
          </w:tcPr>
          <w:p>
            <w:pPr>
              <w:spacing w:after="0" w:line="245" w:lineRule="auto"/>
              <w:jc w:val="center"/>
            </w:pPr>
            <w:r>
              <w:rPr>
                <w:rFonts w:ascii="Aptos" w:hAnsi="Aptos" w:eastAsia="Aptos"/>
                <w:color w:val="1F2937"/>
                <w:sz w:val="18"/>
              </w:rPr>
              <w:t>RQ3</w:t>
            </w:r>
          </w:p>
        </w:tc>
        <w:tc>
          <w:tcPr>
            <w:tcW w:type="dxa" w:w="8568"/>
            <w:tcMar>
              <w:top w:w="100" w:type="dxa"/>
              <w:start w:w="110" w:type="dxa"/>
              <w:bottom w:w="100" w:type="dxa"/>
              <w:end w:w="110" w:type="dxa"/>
            </w:tcMar>
            <w:vAlign w:val="center"/>
          </w:tcPr>
          <w:p>
            <w:pPr>
              <w:spacing w:after="0" w:line="245" w:lineRule="auto"/>
              <w:jc w:val="left"/>
            </w:pPr>
            <w:r>
              <w:rPr>
                <w:rFonts w:ascii="Aptos" w:hAnsi="Aptos" w:eastAsia="Aptos"/>
                <w:color w:val="1F2937"/>
                <w:sz w:val="18"/>
              </w:rPr>
              <w:t>Un singolo modulo può essere sostituito o riaddestrato in isolamento mantenendo le proprietà del sistema?</w:t>
            </w:r>
          </w:p>
        </w:tc>
      </w:tr>
      <w:tr>
        <w:trPr>
          <w:cantSplit/>
        </w:trPr>
        <w:tc>
          <w:tcPr>
            <w:tcW w:type="dxa" w:w="1080"/>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8"/>
              </w:rPr>
              <w:t>RQ4</w:t>
            </w:r>
          </w:p>
        </w:tc>
        <w:tc>
          <w:tcPr>
            <w:tcW w:type="dxa" w:w="856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8"/>
              </w:rPr>
              <w:t>La supervisione autoritativa riduce violazioni e rischi senza introdurre costi operativi sproporzionati?</w:t>
            </w:r>
          </w:p>
        </w:tc>
      </w:tr>
      <w:tr>
        <w:trPr>
          <w:cantSplit/>
        </w:trPr>
        <w:tc>
          <w:tcPr>
            <w:tcW w:type="dxa" w:w="1080"/>
            <w:tcMar>
              <w:top w:w="100" w:type="dxa"/>
              <w:start w:w="110" w:type="dxa"/>
              <w:bottom w:w="100" w:type="dxa"/>
              <w:end w:w="110" w:type="dxa"/>
            </w:tcMar>
            <w:vAlign w:val="center"/>
          </w:tcPr>
          <w:p>
            <w:pPr>
              <w:spacing w:after="0" w:line="245" w:lineRule="auto"/>
              <w:jc w:val="center"/>
            </w:pPr>
            <w:r>
              <w:rPr>
                <w:rFonts w:ascii="Aptos" w:hAnsi="Aptos" w:eastAsia="Aptos"/>
                <w:color w:val="1F2937"/>
                <w:sz w:val="18"/>
              </w:rPr>
              <w:t>RQ5</w:t>
            </w:r>
          </w:p>
        </w:tc>
        <w:tc>
          <w:tcPr>
            <w:tcW w:type="dxa" w:w="8568"/>
            <w:tcMar>
              <w:top w:w="100" w:type="dxa"/>
              <w:start w:w="110" w:type="dxa"/>
              <w:bottom w:w="100" w:type="dxa"/>
              <w:end w:w="110" w:type="dxa"/>
            </w:tcMar>
            <w:vAlign w:val="center"/>
          </w:tcPr>
          <w:p>
            <w:pPr>
              <w:spacing w:after="0" w:line="245" w:lineRule="auto"/>
              <w:jc w:val="left"/>
            </w:pPr>
            <w:r>
              <w:rPr>
                <w:rFonts w:ascii="Aptos" w:hAnsi="Aptos" w:eastAsia="Aptos"/>
                <w:color w:val="1F2937"/>
                <w:sz w:val="18"/>
              </w:rPr>
              <w:t>Il Decision Lattice mantiene vincoli non compensatori con tassi accettabili di missed detection e unnecessary stop?</w:t>
            </w:r>
          </w:p>
        </w:tc>
      </w:tr>
      <w:tr>
        <w:trPr>
          <w:cantSplit/>
        </w:trPr>
        <w:tc>
          <w:tcPr>
            <w:tcW w:type="dxa" w:w="1080"/>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8"/>
              </w:rPr>
              <w:t>RQ6</w:t>
            </w:r>
          </w:p>
        </w:tc>
        <w:tc>
          <w:tcPr>
            <w:tcW w:type="dxa" w:w="856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8"/>
              </w:rPr>
              <w:t>Quale quantità e qualità di stato interno è necessaria per ottenere ciascun livello di assurance?</w:t>
            </w:r>
          </w:p>
        </w:tc>
      </w:tr>
      <w:tr>
        <w:trPr>
          <w:cantSplit/>
        </w:trPr>
        <w:tc>
          <w:tcPr>
            <w:tcW w:type="dxa" w:w="1080"/>
            <w:tcMar>
              <w:top w:w="100" w:type="dxa"/>
              <w:start w:w="110" w:type="dxa"/>
              <w:bottom w:w="100" w:type="dxa"/>
              <w:end w:w="110" w:type="dxa"/>
            </w:tcMar>
            <w:vAlign w:val="center"/>
          </w:tcPr>
          <w:p>
            <w:pPr>
              <w:spacing w:after="0" w:line="245" w:lineRule="auto"/>
              <w:jc w:val="center"/>
            </w:pPr>
            <w:r>
              <w:rPr>
                <w:rFonts w:ascii="Aptos" w:hAnsi="Aptos" w:eastAsia="Aptos"/>
                <w:color w:val="1F2937"/>
                <w:sz w:val="18"/>
              </w:rPr>
              <w:t>RQ7</w:t>
            </w:r>
          </w:p>
        </w:tc>
        <w:tc>
          <w:tcPr>
            <w:tcW w:type="dxa" w:w="8568"/>
            <w:tcMar>
              <w:top w:w="100" w:type="dxa"/>
              <w:start w:w="110" w:type="dxa"/>
              <w:bottom w:w="100" w:type="dxa"/>
              <w:end w:w="110" w:type="dxa"/>
            </w:tcMar>
            <w:vAlign w:val="center"/>
          </w:tcPr>
          <w:p>
            <w:pPr>
              <w:spacing w:after="0" w:line="245" w:lineRule="auto"/>
              <w:jc w:val="left"/>
            </w:pPr>
            <w:r>
              <w:rPr>
                <w:rFonts w:ascii="Aptos" w:hAnsi="Aptos" w:eastAsia="Aptos"/>
                <w:color w:val="1F2937"/>
                <w:sz w:val="18"/>
              </w:rPr>
              <w:t>La correzione forward-only migliora la traiettoria successiva o ottimizza soltanto un proxy?</w:t>
            </w:r>
          </w:p>
        </w:tc>
      </w:tr>
      <w:tr>
        <w:trPr>
          <w:cantSplit/>
        </w:trPr>
        <w:tc>
          <w:tcPr>
            <w:tcW w:type="dxa" w:w="1080"/>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8"/>
              </w:rPr>
              <w:t>RQ8</w:t>
            </w:r>
          </w:p>
        </w:tc>
        <w:tc>
          <w:tcPr>
            <w:tcW w:type="dxa" w:w="856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8"/>
              </w:rPr>
              <w:t>Il Governance Core può essere riutilizzato in un secondo dominio senza perdere controllo, significato o convenienza?</w:t>
            </w:r>
          </w:p>
        </w:tc>
      </w:tr>
    </w:tbl>
    <w:p>
      <w:pPr>
        <w:spacing w:after="0"/>
      </w:pPr>
    </w:p>
    <w:p>
      <w:pPr>
        <w:pStyle w:val="Heading1"/>
      </w:pPr>
      <w:r>
        <w:t>8. Evidenza attuale e disciplina dei claim</w:t>
      </w:r>
    </w:p>
    <w:p>
      <w:r>
        <w:t>P0 è un esercizio metodologico su scala ridotta. Ha verificato contratti, canali, assenze, pipeline end-to-end, lattice, audit e attribuzione per fonte; ha inoltre trovato difetti architetturali e fallimenti silenziosi che non erano emersi dalla sola revisione documentale. Non dimostra la superiorità generale del modulare, la correttezza del punteggio etico, l’efficacia della correzione o la scalabilità del sistema.</w:t>
      </w:r>
    </w:p>
    <w:tbl>
      <w:tblPr>
        <w:tblW w:type="auto" w:w="0"/>
        <w:jc w:val="center"/>
        <w:tblLayout w:type="fixed"/>
        <w:tblLook w:firstColumn="1" w:firstRow="1" w:lastColumn="0" w:lastRow="0" w:noHBand="0" w:noVBand="1" w:val="04A0"/>
        <w:tblBorders>
          <w:top w:val="single" w:sz="5" w:space="0" w:color="B9C7D5"/>
          <w:left w:val="single" w:sz="5" w:space="0" w:color="B9C7D5"/>
          <w:bottom w:val="single" w:sz="5" w:space="0" w:color="B9C7D5"/>
          <w:right w:val="single" w:sz="5" w:space="0" w:color="B9C7D5"/>
          <w:insideH w:val="single" w:sz="5" w:space="0" w:color="B9C7D5"/>
          <w:insideV w:val="single" w:sz="5" w:space="0" w:color="B9C7D5"/>
        </w:tblBorders>
      </w:tblPr>
      <w:tblGrid>
        <w:gridCol w:w="3293"/>
        <w:gridCol w:w="3293"/>
        <w:gridCol w:w="3293"/>
      </w:tblGrid>
      <w:tr>
        <w:trPr>
          <w:tblHeader w:val="true"/>
          <w:cantSplit/>
        </w:trPr>
        <w:tc>
          <w:tcPr>
            <w:tcW w:type="dxa" w:w="1944"/>
            <w:shd w:fill="19324D"/>
            <w:tcMar>
              <w:top w:w="120" w:type="dxa"/>
              <w:start w:w="120" w:type="dxa"/>
              <w:bottom w:w="120" w:type="dxa"/>
              <w:end w:w="120" w:type="dxa"/>
            </w:tcMar>
            <w:vAlign w:val="center"/>
          </w:tcPr>
          <w:p>
            <w:pPr>
              <w:spacing w:after="0"/>
              <w:jc w:val="center"/>
            </w:pPr>
            <w:r>
              <w:rPr>
                <w:rFonts w:ascii="Aptos" w:hAnsi="Aptos" w:eastAsia="Aptos"/>
                <w:b/>
                <w:color w:val="FFFFFF"/>
                <w:sz w:val="17"/>
              </w:rPr>
              <w:t>Area</w:t>
            </w:r>
          </w:p>
        </w:tc>
        <w:tc>
          <w:tcPr>
            <w:tcW w:type="dxa" w:w="4608"/>
            <w:shd w:fill="19324D"/>
            <w:tcMar>
              <w:top w:w="120" w:type="dxa"/>
              <w:start w:w="120" w:type="dxa"/>
              <w:bottom w:w="120" w:type="dxa"/>
              <w:end w:w="120" w:type="dxa"/>
            </w:tcMar>
            <w:vAlign w:val="center"/>
          </w:tcPr>
          <w:p>
            <w:pPr>
              <w:spacing w:after="0"/>
              <w:jc w:val="center"/>
            </w:pPr>
            <w:r>
              <w:rPr>
                <w:rFonts w:ascii="Aptos" w:hAnsi="Aptos" w:eastAsia="Aptos"/>
                <w:b/>
                <w:color w:val="FFFFFF"/>
                <w:sz w:val="17"/>
              </w:rPr>
              <w:t>Evidenza</w:t>
            </w:r>
          </w:p>
        </w:tc>
        <w:tc>
          <w:tcPr>
            <w:tcW w:type="dxa" w:w="3096"/>
            <w:shd w:fill="19324D"/>
            <w:tcMar>
              <w:top w:w="120" w:type="dxa"/>
              <w:start w:w="120" w:type="dxa"/>
              <w:bottom w:w="120" w:type="dxa"/>
              <w:end w:w="120" w:type="dxa"/>
            </w:tcMar>
            <w:vAlign w:val="center"/>
          </w:tcPr>
          <w:p>
            <w:pPr>
              <w:spacing w:after="0"/>
              <w:jc w:val="center"/>
            </w:pPr>
            <w:r>
              <w:rPr>
                <w:rFonts w:ascii="Aptos" w:hAnsi="Aptos" w:eastAsia="Aptos"/>
                <w:b/>
                <w:color w:val="FFFFFF"/>
                <w:sz w:val="17"/>
              </w:rPr>
              <w:t>Limite</w:t>
            </w:r>
          </w:p>
        </w:tc>
      </w:tr>
      <w:tr>
        <w:trPr>
          <w:cantSplit/>
        </w:trPr>
        <w:tc>
          <w:tcPr>
            <w:tcW w:type="dxa" w:w="1944"/>
            <w:tcMar>
              <w:top w:w="100" w:type="dxa"/>
              <w:start w:w="110" w:type="dxa"/>
              <w:bottom w:w="100" w:type="dxa"/>
              <w:end w:w="110" w:type="dxa"/>
            </w:tcMar>
            <w:vAlign w:val="center"/>
          </w:tcPr>
          <w:p>
            <w:pPr>
              <w:spacing w:after="0" w:line="245" w:lineRule="auto"/>
              <w:jc w:val="center"/>
            </w:pPr>
            <w:r>
              <w:rPr>
                <w:rFonts w:ascii="Aptos" w:hAnsi="Aptos" w:eastAsia="Aptos"/>
                <w:color w:val="1F2937"/>
                <w:sz w:val="17"/>
              </w:rPr>
              <w:t>Proprietà architetturali</w:t>
            </w:r>
          </w:p>
        </w:tc>
        <w:tc>
          <w:tcPr>
            <w:tcW w:type="dxa" w:w="4608"/>
            <w:tcMar>
              <w:top w:w="100" w:type="dxa"/>
              <w:start w:w="110" w:type="dxa"/>
              <w:bottom w:w="100" w:type="dxa"/>
              <w:end w:w="110" w:type="dxa"/>
            </w:tcMar>
            <w:vAlign w:val="center"/>
          </w:tcPr>
          <w:p>
            <w:pPr>
              <w:spacing w:after="0" w:line="245" w:lineRule="auto"/>
              <w:jc w:val="left"/>
            </w:pPr>
            <w:r>
              <w:rPr>
                <w:rFonts w:ascii="Aptos" w:hAnsi="Aptos" w:eastAsia="Aptos"/>
                <w:color w:val="1F2937"/>
                <w:sz w:val="17"/>
              </w:rPr>
              <w:t>Contratti tipizzati, bus, canale privilegiato, gateway e test di presenza/assenza.</w:t>
            </w:r>
          </w:p>
        </w:tc>
        <w:tc>
          <w:tcPr>
            <w:tcW w:type="dxa" w:w="3096"/>
            <w:tcMar>
              <w:top w:w="100" w:type="dxa"/>
              <w:start w:w="110" w:type="dxa"/>
              <w:bottom w:w="100" w:type="dxa"/>
              <w:end w:w="110" w:type="dxa"/>
            </w:tcMar>
            <w:vAlign w:val="center"/>
          </w:tcPr>
          <w:p>
            <w:pPr>
              <w:spacing w:after="0" w:line="245" w:lineRule="auto"/>
              <w:jc w:val="left"/>
            </w:pPr>
            <w:r>
              <w:rPr>
                <w:rFonts w:ascii="Aptos" w:hAnsi="Aptos" w:eastAsia="Aptos"/>
                <w:color w:val="1F2937"/>
                <w:sz w:val="17"/>
              </w:rPr>
              <w:t>P0 verificato nel suo perimetro.</w:t>
            </w:r>
          </w:p>
        </w:tc>
      </w:tr>
      <w:tr>
        <w:trPr>
          <w:cantSplit/>
        </w:trPr>
        <w:tc>
          <w:tcPr>
            <w:tcW w:type="dxa" w:w="194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7"/>
              </w:rPr>
              <w:t>Attribuzione</w:t>
            </w:r>
          </w:p>
        </w:tc>
        <w:tc>
          <w:tcPr>
            <w:tcW w:type="dxa" w:w="460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7"/>
              </w:rPr>
              <w:t>Ablazioni singole e congiunte mostrano contributi separabili e ridondanza crescente.</w:t>
            </w:r>
          </w:p>
        </w:tc>
        <w:tc>
          <w:tcPr>
            <w:tcW w:type="dxa" w:w="3096"/>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7"/>
              </w:rPr>
              <w:t>Misurata a scala ridotta; causalità completa aperta.</w:t>
            </w:r>
          </w:p>
        </w:tc>
      </w:tr>
      <w:tr>
        <w:trPr>
          <w:cantSplit/>
        </w:trPr>
        <w:tc>
          <w:tcPr>
            <w:tcW w:type="dxa" w:w="1944"/>
            <w:tcMar>
              <w:top w:w="100" w:type="dxa"/>
              <w:start w:w="110" w:type="dxa"/>
              <w:bottom w:w="100" w:type="dxa"/>
              <w:end w:w="110" w:type="dxa"/>
            </w:tcMar>
            <w:vAlign w:val="center"/>
          </w:tcPr>
          <w:p>
            <w:pPr>
              <w:spacing w:after="0" w:line="245" w:lineRule="auto"/>
              <w:jc w:val="center"/>
            </w:pPr>
            <w:r>
              <w:rPr>
                <w:rFonts w:ascii="Aptos" w:hAnsi="Aptos" w:eastAsia="Aptos"/>
                <w:color w:val="1F2937"/>
                <w:sz w:val="17"/>
              </w:rPr>
              <w:t>Prestazione modulare</w:t>
            </w:r>
          </w:p>
        </w:tc>
        <w:tc>
          <w:tcPr>
            <w:tcW w:type="dxa" w:w="4608"/>
            <w:tcMar>
              <w:top w:w="100" w:type="dxa"/>
              <w:start w:w="110" w:type="dxa"/>
              <w:bottom w:w="100" w:type="dxa"/>
              <w:end w:w="110" w:type="dxa"/>
            </w:tcMar>
            <w:vAlign w:val="center"/>
          </w:tcPr>
          <w:p>
            <w:pPr>
              <w:spacing w:after="0" w:line="245" w:lineRule="auto"/>
              <w:jc w:val="left"/>
            </w:pPr>
            <w:r>
              <w:rPr>
                <w:rFonts w:ascii="Aptos" w:hAnsi="Aptos" w:eastAsia="Aptos"/>
                <w:color w:val="1F2937"/>
                <w:sz w:val="17"/>
              </w:rPr>
              <w:t>Nessuna superiorità generale; risultato localizzato sulla produttività della capacità.</w:t>
            </w:r>
          </w:p>
        </w:tc>
        <w:tc>
          <w:tcPr>
            <w:tcW w:type="dxa" w:w="3096"/>
            <w:tcMar>
              <w:top w:w="100" w:type="dxa"/>
              <w:start w:w="110" w:type="dxa"/>
              <w:bottom w:w="100" w:type="dxa"/>
              <w:end w:w="110" w:type="dxa"/>
            </w:tcMar>
            <w:vAlign w:val="center"/>
          </w:tcPr>
          <w:p>
            <w:pPr>
              <w:spacing w:after="0" w:line="245" w:lineRule="auto"/>
              <w:jc w:val="left"/>
            </w:pPr>
            <w:r>
              <w:rPr>
                <w:rFonts w:ascii="Aptos" w:hAnsi="Aptos" w:eastAsia="Aptos"/>
                <w:color w:val="1F2937"/>
                <w:sz w:val="17"/>
              </w:rPr>
              <w:t>Claim riformulato: studiare dove paga.</w:t>
            </w:r>
          </w:p>
        </w:tc>
      </w:tr>
      <w:tr>
        <w:trPr>
          <w:cantSplit/>
        </w:trPr>
        <w:tc>
          <w:tcPr>
            <w:tcW w:type="dxa" w:w="194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7"/>
              </w:rPr>
              <w:t>Correzione</w:t>
            </w:r>
          </w:p>
        </w:tc>
        <w:tc>
          <w:tcPr>
            <w:tcW w:type="dxa" w:w="460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7"/>
              </w:rPr>
              <w:t>Cablaggio in-place osservato.</w:t>
            </w:r>
          </w:p>
        </w:tc>
        <w:tc>
          <w:tcPr>
            <w:tcW w:type="dxa" w:w="3096"/>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7"/>
              </w:rPr>
              <w:t>Funzione non dimostrata; corrector non addestrato.</w:t>
            </w:r>
          </w:p>
        </w:tc>
      </w:tr>
      <w:tr>
        <w:trPr>
          <w:cantSplit/>
        </w:trPr>
        <w:tc>
          <w:tcPr>
            <w:tcW w:type="dxa" w:w="1944"/>
            <w:tcMar>
              <w:top w:w="100" w:type="dxa"/>
              <w:start w:w="110" w:type="dxa"/>
              <w:bottom w:w="100" w:type="dxa"/>
              <w:end w:w="110" w:type="dxa"/>
            </w:tcMar>
            <w:vAlign w:val="center"/>
          </w:tcPr>
          <w:p>
            <w:pPr>
              <w:spacing w:after="0" w:line="245" w:lineRule="auto"/>
              <w:jc w:val="center"/>
            </w:pPr>
            <w:r>
              <w:rPr>
                <w:rFonts w:ascii="Aptos" w:hAnsi="Aptos" w:eastAsia="Aptos"/>
                <w:color w:val="1F2937"/>
                <w:sz w:val="17"/>
              </w:rPr>
              <w:t>Sostituibilità</w:t>
            </w:r>
          </w:p>
        </w:tc>
        <w:tc>
          <w:tcPr>
            <w:tcW w:type="dxa" w:w="4608"/>
            <w:tcMar>
              <w:top w:w="100" w:type="dxa"/>
              <w:start w:w="110" w:type="dxa"/>
              <w:bottom w:w="100" w:type="dxa"/>
              <w:end w:w="110" w:type="dxa"/>
            </w:tcMar>
            <w:vAlign w:val="center"/>
          </w:tcPr>
          <w:p>
            <w:pPr>
              <w:spacing w:after="0" w:line="245" w:lineRule="auto"/>
              <w:jc w:val="left"/>
            </w:pPr>
            <w:r>
              <w:rPr>
                <w:rFonts w:ascii="Aptos" w:hAnsi="Aptos" w:eastAsia="Aptos"/>
                <w:color w:val="1F2937"/>
                <w:sz w:val="17"/>
              </w:rPr>
              <w:t>Interfacce predisposte.</w:t>
            </w:r>
          </w:p>
        </w:tc>
        <w:tc>
          <w:tcPr>
            <w:tcW w:type="dxa" w:w="3096"/>
            <w:tcMar>
              <w:top w:w="100" w:type="dxa"/>
              <w:start w:w="110" w:type="dxa"/>
              <w:bottom w:w="100" w:type="dxa"/>
              <w:end w:w="110" w:type="dxa"/>
            </w:tcMar>
            <w:vAlign w:val="center"/>
          </w:tcPr>
          <w:p>
            <w:pPr>
              <w:spacing w:after="0" w:line="245" w:lineRule="auto"/>
              <w:jc w:val="left"/>
            </w:pPr>
            <w:r>
              <w:rPr>
                <w:rFonts w:ascii="Aptos" w:hAnsi="Aptos" w:eastAsia="Aptos"/>
                <w:color w:val="1F2937"/>
                <w:sz w:val="17"/>
              </w:rPr>
              <w:t>H8 da eseguire.</w:t>
            </w:r>
          </w:p>
        </w:tc>
      </w:tr>
      <w:tr>
        <w:trPr>
          <w:cantSplit/>
        </w:trPr>
        <w:tc>
          <w:tcPr>
            <w:tcW w:type="dxa" w:w="194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7"/>
              </w:rPr>
              <w:t>Generalizzazione</w:t>
            </w:r>
          </w:p>
        </w:tc>
        <w:tc>
          <w:tcPr>
            <w:tcW w:type="dxa" w:w="4608"/>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7"/>
              </w:rPr>
              <w:t>Architettura concettualmente separata dal package etico.</w:t>
            </w:r>
          </w:p>
        </w:tc>
        <w:tc>
          <w:tcPr>
            <w:tcW w:type="dxa" w:w="3096"/>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7"/>
              </w:rPr>
              <w:t>Secondo dominio non ancora testato.</w:t>
            </w:r>
          </w:p>
        </w:tc>
      </w:tr>
    </w:tbl>
    <w:p>
      <w:pPr>
        <w:spacing w:after="0"/>
      </w:pPr>
    </w:p>
    <w:tbl>
      <w:tblPr>
        <w:tblW w:type="auto" w:w="0"/>
        <w:jc w:val="center"/>
        <w:tblLayout w:type="fixed"/>
        <w:tblLook w:firstColumn="1" w:firstRow="1" w:lastColumn="0" w:lastRow="0" w:noHBand="0" w:noVBand="1" w:val="04A0"/>
        <w:tblBorders>
          <w:top w:val="single" w:sz="5" w:space="0" w:color="AFC4DD"/>
          <w:left w:val="single" w:sz="5" w:space="0" w:color="AFC4DD"/>
          <w:bottom w:val="single" w:sz="5" w:space="0" w:color="AFC4DD"/>
          <w:right w:val="single" w:sz="5" w:space="0" w:color="AFC4DD"/>
          <w:insideH w:val="single" w:sz="5" w:space="0" w:color="AFC4DD"/>
          <w:insideV w:val="single" w:sz="5" w:space="0" w:color="AFC4DD"/>
        </w:tblBorders>
      </w:tblPr>
      <w:tblGrid>
        <w:gridCol w:w="9878"/>
      </w:tblGrid>
      <w:tr>
        <w:tc>
          <w:tcPr>
            <w:tcW w:type="dxa" w:w="9878"/>
            <w:shd w:fill="EAF1F8"/>
            <w:tcMar>
              <w:top w:w="160" w:type="dxa"/>
              <w:start w:w="180" w:type="dxa"/>
              <w:bottom w:w="160" w:type="dxa"/>
              <w:end w:w="180" w:type="dxa"/>
            </w:tcMar>
          </w:tcPr>
          <w:p>
            <w:pPr>
              <w:spacing w:after="60"/>
            </w:pPr>
            <w:r>
              <w:rPr>
                <w:rFonts w:ascii="Aptos" w:hAnsi="Aptos" w:eastAsia="Aptos"/>
                <w:b/>
                <w:color w:val="19324D"/>
                <w:sz w:val="21"/>
              </w:rPr>
              <w:t>Impegno epistemico</w:t>
            </w:r>
          </w:p>
          <w:p>
            <w:pPr>
              <w:spacing w:after="0" w:line="259" w:lineRule="auto"/>
            </w:pPr>
            <w:r>
              <w:rPr>
                <w:rFonts w:ascii="Aptos" w:hAnsi="Aptos" w:eastAsia="Aptos"/>
                <w:color w:val="1F2937"/>
                <w:sz w:val="20"/>
              </w:rPr>
              <w:t>Il programma distingue claim strutturali, risultati P0, teoremi condizionali, ipotesi aperte e risultati negativi. Nessun documento pubblico deve usare una formulazione più forte di quella autorizzata dal Claim Register.</w:t>
            </w:r>
          </w:p>
        </w:tc>
      </w:tr>
    </w:tbl>
    <w:p>
      <w:pPr>
        <w:spacing w:after="0"/>
      </w:pPr>
    </w:p>
    <w:p>
      <w:pPr>
        <w:pStyle w:val="Heading1"/>
      </w:pPr>
      <w:r>
        <w:t>9. La proporzionalità della governance</w:t>
      </w:r>
    </w:p>
    <w:p>
      <w:r>
        <w:t>EthicLaw non propone di aggiungere supervisione ovunque. L’architettura è giustificata nei contesti in cui governabilità, conformità, responsabilità e controllo sono requisiti sostanziali e il loro valore supera il costo della supervisione.</w:t>
      </w:r>
    </w:p>
    <w:tbl>
      <w:tblPr>
        <w:tblW w:type="auto" w:w="0"/>
        <w:jc w:val="center"/>
        <w:tblLayout w:type="fixed"/>
        <w:tblLook w:firstColumn="1" w:firstRow="1" w:lastColumn="0" w:lastRow="0" w:noHBand="0" w:noVBand="1" w:val="04A0"/>
        <w:tblBorders>
          <w:top w:val="single" w:sz="5" w:space="0" w:color="B9C7D5"/>
          <w:left w:val="single" w:sz="5" w:space="0" w:color="B9C7D5"/>
          <w:bottom w:val="single" w:sz="5" w:space="0" w:color="B9C7D5"/>
          <w:right w:val="single" w:sz="5" w:space="0" w:color="B9C7D5"/>
          <w:insideH w:val="single" w:sz="5" w:space="0" w:color="B9C7D5"/>
          <w:insideV w:val="single" w:sz="5" w:space="0" w:color="B9C7D5"/>
        </w:tblBorders>
      </w:tblPr>
      <w:tblGrid>
        <w:gridCol w:w="4939"/>
        <w:gridCol w:w="4939"/>
      </w:tblGrid>
      <w:tr>
        <w:trPr>
          <w:tblHeader w:val="true"/>
          <w:cantSplit/>
        </w:trPr>
        <w:tc>
          <w:tcPr>
            <w:tcW w:type="dxa" w:w="4824"/>
            <w:shd w:fill="19324D"/>
            <w:tcMar>
              <w:top w:w="120" w:type="dxa"/>
              <w:start w:w="120" w:type="dxa"/>
              <w:bottom w:w="120" w:type="dxa"/>
              <w:end w:w="120" w:type="dxa"/>
            </w:tcMar>
            <w:vAlign w:val="center"/>
          </w:tcPr>
          <w:p>
            <w:pPr>
              <w:spacing w:after="0"/>
              <w:jc w:val="center"/>
            </w:pPr>
            <w:r>
              <w:rPr>
                <w:rFonts w:ascii="Aptos" w:hAnsi="Aptos" w:eastAsia="Aptos"/>
                <w:b/>
                <w:color w:val="FFFFFF"/>
                <w:sz w:val="18"/>
              </w:rPr>
              <w:t>Beneficio da misurare</w:t>
            </w:r>
          </w:p>
        </w:tc>
        <w:tc>
          <w:tcPr>
            <w:tcW w:type="dxa" w:w="4824"/>
            <w:shd w:fill="19324D"/>
            <w:tcMar>
              <w:top w:w="120" w:type="dxa"/>
              <w:start w:w="120" w:type="dxa"/>
              <w:bottom w:w="120" w:type="dxa"/>
              <w:end w:w="120" w:type="dxa"/>
            </w:tcMar>
            <w:vAlign w:val="center"/>
          </w:tcPr>
          <w:p>
            <w:pPr>
              <w:spacing w:after="0"/>
              <w:jc w:val="center"/>
            </w:pPr>
            <w:r>
              <w:rPr>
                <w:rFonts w:ascii="Aptos" w:hAnsi="Aptos" w:eastAsia="Aptos"/>
                <w:b/>
                <w:color w:val="FFFFFF"/>
                <w:sz w:val="18"/>
              </w:rPr>
              <w:t>Overhead da misurare</w:t>
            </w:r>
          </w:p>
        </w:tc>
      </w:tr>
      <w:tr>
        <w:trPr>
          <w:cantSplit/>
        </w:trPr>
        <w:tc>
          <w:tcPr>
            <w:tcW w:type="dxa" w:w="4824"/>
            <w:tcMar>
              <w:top w:w="100" w:type="dxa"/>
              <w:start w:w="110" w:type="dxa"/>
              <w:bottom w:w="100" w:type="dxa"/>
              <w:end w:w="110" w:type="dxa"/>
            </w:tcMar>
            <w:vAlign w:val="center"/>
          </w:tcPr>
          <w:p>
            <w:pPr>
              <w:spacing w:after="0" w:line="245" w:lineRule="auto"/>
              <w:jc w:val="center"/>
            </w:pPr>
            <w:r>
              <w:rPr>
                <w:rFonts w:ascii="Aptos" w:hAnsi="Aptos" w:eastAsia="Aptos"/>
                <w:color w:val="1F2937"/>
                <w:sz w:val="18"/>
              </w:rPr>
              <w:t>Riduzione del rischio e delle violazioni</w:t>
            </w:r>
          </w:p>
        </w:tc>
        <w:tc>
          <w:tcPr>
            <w:tcW w:type="dxa" w:w="4824"/>
            <w:tcMar>
              <w:top w:w="100" w:type="dxa"/>
              <w:start w:w="110" w:type="dxa"/>
              <w:bottom w:w="100" w:type="dxa"/>
              <w:end w:w="110" w:type="dxa"/>
            </w:tcMar>
            <w:vAlign w:val="center"/>
          </w:tcPr>
          <w:p>
            <w:pPr>
              <w:spacing w:after="0" w:line="245" w:lineRule="auto"/>
              <w:jc w:val="left"/>
            </w:pPr>
            <w:r>
              <w:rPr>
                <w:rFonts w:ascii="Aptos" w:hAnsi="Aptos" w:eastAsia="Aptos"/>
                <w:color w:val="1F2937"/>
                <w:sz w:val="18"/>
              </w:rPr>
              <w:t>Latenza end-to-end e tempo di decisione</w:t>
            </w:r>
          </w:p>
        </w:tc>
      </w:tr>
      <w:tr>
        <w:trPr>
          <w:cantSplit/>
        </w:trPr>
        <w:tc>
          <w:tcPr>
            <w:tcW w:type="dxa" w:w="482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8"/>
              </w:rPr>
              <w:t>Attribuzione, verificabilità e qualità dell’audit</w:t>
            </w:r>
          </w:p>
        </w:tc>
        <w:tc>
          <w:tcPr>
            <w:tcW w:type="dxa" w:w="4824"/>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8"/>
              </w:rPr>
              <w:t>Calcolo, memoria, rete ed energia</w:t>
            </w:r>
          </w:p>
        </w:tc>
      </w:tr>
      <w:tr>
        <w:trPr>
          <w:cantSplit/>
        </w:trPr>
        <w:tc>
          <w:tcPr>
            <w:tcW w:type="dxa" w:w="4824"/>
            <w:tcMar>
              <w:top w:w="100" w:type="dxa"/>
              <w:start w:w="110" w:type="dxa"/>
              <w:bottom w:w="100" w:type="dxa"/>
              <w:end w:w="110" w:type="dxa"/>
            </w:tcMar>
            <w:vAlign w:val="center"/>
          </w:tcPr>
          <w:p>
            <w:pPr>
              <w:spacing w:after="0" w:line="245" w:lineRule="auto"/>
              <w:jc w:val="center"/>
            </w:pPr>
            <w:r>
              <w:rPr>
                <w:rFonts w:ascii="Aptos" w:hAnsi="Aptos" w:eastAsia="Aptos"/>
                <w:color w:val="1F2937"/>
                <w:sz w:val="18"/>
              </w:rPr>
              <w:t>Aggiornamento locale e riduzione del lock-in</w:t>
            </w:r>
          </w:p>
        </w:tc>
        <w:tc>
          <w:tcPr>
            <w:tcW w:type="dxa" w:w="4824"/>
            <w:tcMar>
              <w:top w:w="100" w:type="dxa"/>
              <w:start w:w="110" w:type="dxa"/>
              <w:bottom w:w="100" w:type="dxa"/>
              <w:end w:w="110" w:type="dxa"/>
            </w:tcMar>
            <w:vAlign w:val="center"/>
          </w:tcPr>
          <w:p>
            <w:pPr>
              <w:spacing w:after="0" w:line="245" w:lineRule="auto"/>
              <w:jc w:val="left"/>
            </w:pPr>
            <w:r>
              <w:rPr>
                <w:rFonts w:ascii="Aptos" w:hAnsi="Aptos" w:eastAsia="Aptos"/>
                <w:color w:val="1F2937"/>
                <w:sz w:val="18"/>
              </w:rPr>
              <w:t>Integrazione, test, manutenzione e ricertificazione</w:t>
            </w:r>
          </w:p>
        </w:tc>
      </w:tr>
      <w:tr>
        <w:trPr>
          <w:cantSplit/>
        </w:trPr>
        <w:tc>
          <w:tcPr>
            <w:tcW w:type="dxa" w:w="482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8"/>
              </w:rPr>
              <w:t>Conformità a norme, statuti o procedure</w:t>
            </w:r>
          </w:p>
        </w:tc>
        <w:tc>
          <w:tcPr>
            <w:tcW w:type="dxa" w:w="4824"/>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8"/>
              </w:rPr>
              <w:t>Falsi positivi, blocchi e costi organizzativi</w:t>
            </w:r>
          </w:p>
        </w:tc>
      </w:tr>
    </w:tbl>
    <w:p>
      <w:pPr>
        <w:spacing w:after="0"/>
      </w:pPr>
    </w:p>
    <w:p>
      <w:r>
        <w:t>Un risultato nel quale l’overhead non sia compensato dal beneficio non invalida il metodo: delimita correttamente il campo di applicazione. La frontiera costo-beneficio è una parte del contributo scientifico.</w:t>
      </w:r>
    </w:p>
    <w:p>
      <w:pPr>
        <w:pStyle w:val="Heading1"/>
      </w:pPr>
      <w:r>
        <w:t>10. Programma di ricerca e traiettoria pubblica</w:t>
      </w:r>
    </w:p>
    <w:tbl>
      <w:tblPr>
        <w:tblW w:type="auto" w:w="0"/>
        <w:jc w:val="center"/>
        <w:tblLayout w:type="fixed"/>
        <w:tblLook w:firstColumn="1" w:firstRow="1" w:lastColumn="0" w:lastRow="0" w:noHBand="0" w:noVBand="1" w:val="04A0"/>
        <w:tblBorders>
          <w:top w:val="single" w:sz="5" w:space="0" w:color="B9C7D5"/>
          <w:left w:val="single" w:sz="5" w:space="0" w:color="B9C7D5"/>
          <w:bottom w:val="single" w:sz="5" w:space="0" w:color="B9C7D5"/>
          <w:right w:val="single" w:sz="5" w:space="0" w:color="B9C7D5"/>
          <w:insideH w:val="single" w:sz="5" w:space="0" w:color="B9C7D5"/>
          <w:insideV w:val="single" w:sz="5" w:space="0" w:color="B9C7D5"/>
        </w:tblBorders>
      </w:tblPr>
      <w:tblGrid>
        <w:gridCol w:w="2469"/>
        <w:gridCol w:w="2469"/>
        <w:gridCol w:w="2469"/>
        <w:gridCol w:w="2469"/>
      </w:tblGrid>
      <w:tr>
        <w:trPr>
          <w:tblHeader w:val="true"/>
          <w:cantSplit/>
        </w:trPr>
        <w:tc>
          <w:tcPr>
            <w:tcW w:type="dxa" w:w="1224"/>
            <w:shd w:fill="19324D"/>
            <w:tcMar>
              <w:top w:w="120" w:type="dxa"/>
              <w:start w:w="120" w:type="dxa"/>
              <w:bottom w:w="120" w:type="dxa"/>
              <w:end w:w="120" w:type="dxa"/>
            </w:tcMar>
            <w:vAlign w:val="center"/>
          </w:tcPr>
          <w:p>
            <w:pPr>
              <w:spacing w:after="0"/>
              <w:jc w:val="center"/>
            </w:pPr>
            <w:r>
              <w:rPr>
                <w:rFonts w:ascii="Aptos" w:hAnsi="Aptos" w:eastAsia="Aptos"/>
                <w:b/>
                <w:color w:val="FFFFFF"/>
                <w:sz w:val="15"/>
              </w:rPr>
              <w:t>Fase</w:t>
            </w:r>
          </w:p>
        </w:tc>
        <w:tc>
          <w:tcPr>
            <w:tcW w:type="dxa" w:w="2232"/>
            <w:shd w:fill="19324D"/>
            <w:tcMar>
              <w:top w:w="120" w:type="dxa"/>
              <w:start w:w="120" w:type="dxa"/>
              <w:bottom w:w="120" w:type="dxa"/>
              <w:end w:w="120" w:type="dxa"/>
            </w:tcMar>
            <w:vAlign w:val="center"/>
          </w:tcPr>
          <w:p>
            <w:pPr>
              <w:spacing w:after="0"/>
              <w:jc w:val="center"/>
            </w:pPr>
            <w:r>
              <w:rPr>
                <w:rFonts w:ascii="Aptos" w:hAnsi="Aptos" w:eastAsia="Aptos"/>
                <w:b/>
                <w:color w:val="FFFFFF"/>
                <w:sz w:val="15"/>
              </w:rPr>
              <w:t>Domanda</w:t>
            </w:r>
          </w:p>
        </w:tc>
        <w:tc>
          <w:tcPr>
            <w:tcW w:type="dxa" w:w="4680"/>
            <w:shd w:fill="19324D"/>
            <w:tcMar>
              <w:top w:w="120" w:type="dxa"/>
              <w:start w:w="120" w:type="dxa"/>
              <w:bottom w:w="120" w:type="dxa"/>
              <w:end w:w="120" w:type="dxa"/>
            </w:tcMar>
            <w:vAlign w:val="center"/>
          </w:tcPr>
          <w:p>
            <w:pPr>
              <w:spacing w:after="0"/>
              <w:jc w:val="center"/>
            </w:pPr>
            <w:r>
              <w:rPr>
                <w:rFonts w:ascii="Aptos" w:hAnsi="Aptos" w:eastAsia="Aptos"/>
                <w:b/>
                <w:color w:val="FFFFFF"/>
                <w:sz w:val="15"/>
              </w:rPr>
              <w:t>Output</w:t>
            </w:r>
          </w:p>
        </w:tc>
        <w:tc>
          <w:tcPr>
            <w:tcW w:type="dxa" w:w="1512"/>
            <w:shd w:fill="19324D"/>
            <w:tcMar>
              <w:top w:w="120" w:type="dxa"/>
              <w:start w:w="120" w:type="dxa"/>
              <w:bottom w:w="120" w:type="dxa"/>
              <w:end w:w="120" w:type="dxa"/>
            </w:tcMar>
            <w:vAlign w:val="center"/>
          </w:tcPr>
          <w:p>
            <w:pPr>
              <w:spacing w:after="0"/>
              <w:jc w:val="center"/>
            </w:pPr>
            <w:r>
              <w:rPr>
                <w:rFonts w:ascii="Aptos" w:hAnsi="Aptos" w:eastAsia="Aptos"/>
                <w:b/>
                <w:color w:val="FFFFFF"/>
                <w:sz w:val="15"/>
              </w:rPr>
              <w:t>Stato</w:t>
            </w:r>
          </w:p>
        </w:tc>
      </w:tr>
      <w:tr>
        <w:trPr>
          <w:cantSplit/>
        </w:trPr>
        <w:tc>
          <w:tcPr>
            <w:tcW w:type="dxa" w:w="1224"/>
            <w:tcMar>
              <w:top w:w="100" w:type="dxa"/>
              <w:start w:w="110" w:type="dxa"/>
              <w:bottom w:w="100" w:type="dxa"/>
              <w:end w:w="110" w:type="dxa"/>
            </w:tcMar>
            <w:vAlign w:val="center"/>
          </w:tcPr>
          <w:p>
            <w:pPr>
              <w:spacing w:after="0" w:line="245" w:lineRule="auto"/>
              <w:jc w:val="center"/>
            </w:pPr>
            <w:r>
              <w:rPr>
                <w:rFonts w:ascii="Aptos" w:hAnsi="Aptos" w:eastAsia="Aptos"/>
                <w:color w:val="1F2937"/>
                <w:sz w:val="15"/>
              </w:rPr>
              <w:t>P0</w:t>
            </w:r>
          </w:p>
        </w:tc>
        <w:tc>
          <w:tcPr>
            <w:tcW w:type="dxa" w:w="223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Metodo e attribuzione</w:t>
            </w:r>
          </w:p>
        </w:tc>
        <w:tc>
          <w:tcPr>
            <w:tcW w:type="dxa" w:w="4680"/>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Contratti, pipeline, lattice, audit, ablazioni e lezioni sui fallimenti silenziosi.</w:t>
            </w:r>
          </w:p>
        </w:tc>
        <w:tc>
          <w:tcPr>
            <w:tcW w:type="dxa" w:w="151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Completato a scala ridotta.</w:t>
            </w:r>
          </w:p>
        </w:tc>
      </w:tr>
      <w:tr>
        <w:trPr>
          <w:cantSplit/>
        </w:trPr>
        <w:tc>
          <w:tcPr>
            <w:tcW w:type="dxa" w:w="122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5"/>
              </w:rPr>
              <w:t>P1</w:t>
            </w:r>
          </w:p>
        </w:tc>
        <w:tc>
          <w:tcPr>
            <w:tcW w:type="dxa" w:w="2232"/>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Architettura e costo della governance</w:t>
            </w:r>
          </w:p>
        </w:tc>
        <w:tc>
          <w:tcPr>
            <w:tcW w:type="dxa" w:w="4680"/>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Validare comunicazione, controllo, osservabilità, failure modes e overhead sul cluster.</w:t>
            </w:r>
          </w:p>
        </w:tc>
        <w:tc>
          <w:tcPr>
            <w:tcW w:type="dxa" w:w="1512"/>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Priorità immediata.</w:t>
            </w:r>
          </w:p>
        </w:tc>
      </w:tr>
      <w:tr>
        <w:trPr>
          <w:cantSplit/>
        </w:trPr>
        <w:tc>
          <w:tcPr>
            <w:tcW w:type="dxa" w:w="1224"/>
            <w:tcMar>
              <w:top w:w="100" w:type="dxa"/>
              <w:start w:w="110" w:type="dxa"/>
              <w:bottom w:w="100" w:type="dxa"/>
              <w:end w:w="110" w:type="dxa"/>
            </w:tcMar>
            <w:vAlign w:val="center"/>
          </w:tcPr>
          <w:p>
            <w:pPr>
              <w:spacing w:after="0" w:line="245" w:lineRule="auto"/>
              <w:jc w:val="center"/>
            </w:pPr>
            <w:r>
              <w:rPr>
                <w:rFonts w:ascii="Aptos" w:hAnsi="Aptos" w:eastAsia="Aptos"/>
                <w:color w:val="1F2937"/>
                <w:sz w:val="15"/>
              </w:rPr>
              <w:t>Paper 1</w:t>
            </w:r>
          </w:p>
        </w:tc>
        <w:tc>
          <w:tcPr>
            <w:tcW w:type="dxa" w:w="223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Dove la modularità paga</w:t>
            </w:r>
          </w:p>
        </w:tc>
        <w:tc>
          <w:tcPr>
            <w:tcW w:type="dxa" w:w="4680"/>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Confronto modulare/monolitico con claim localizzati e costi separati.</w:t>
            </w:r>
          </w:p>
        </w:tc>
        <w:tc>
          <w:tcPr>
            <w:tcW w:type="dxa" w:w="151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Dopo P1/P2 a parità appropriata.</w:t>
            </w:r>
          </w:p>
        </w:tc>
      </w:tr>
      <w:tr>
        <w:trPr>
          <w:cantSplit/>
        </w:trPr>
        <w:tc>
          <w:tcPr>
            <w:tcW w:type="dxa" w:w="122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5"/>
              </w:rPr>
              <w:t>P2 / Paper 2</w:t>
            </w:r>
          </w:p>
        </w:tc>
        <w:tc>
          <w:tcPr>
            <w:tcW w:type="dxa" w:w="2232"/>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Modulo normativo sostituibile</w:t>
            </w:r>
          </w:p>
        </w:tc>
        <w:tc>
          <w:tcPr>
            <w:tcW w:type="dxa" w:w="4680"/>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H8, package versionati, calibrazione e ricertificazione locale.</w:t>
            </w:r>
          </w:p>
        </w:tc>
        <w:tc>
          <w:tcPr>
            <w:tcW w:type="dxa" w:w="1512"/>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Fase successiva.</w:t>
            </w:r>
          </w:p>
        </w:tc>
      </w:tr>
      <w:tr>
        <w:trPr>
          <w:cantSplit/>
        </w:trPr>
        <w:tc>
          <w:tcPr>
            <w:tcW w:type="dxa" w:w="1224"/>
            <w:tcMar>
              <w:top w:w="100" w:type="dxa"/>
              <w:start w:w="110" w:type="dxa"/>
              <w:bottom w:w="100" w:type="dxa"/>
              <w:end w:w="110" w:type="dxa"/>
            </w:tcMar>
            <w:vAlign w:val="center"/>
          </w:tcPr>
          <w:p>
            <w:pPr>
              <w:spacing w:after="0" w:line="245" w:lineRule="auto"/>
              <w:jc w:val="center"/>
            </w:pPr>
            <w:r>
              <w:rPr>
                <w:rFonts w:ascii="Aptos" w:hAnsi="Aptos" w:eastAsia="Aptos"/>
                <w:color w:val="1F2937"/>
                <w:sz w:val="15"/>
              </w:rPr>
              <w:t>Paper 3</w:t>
            </w:r>
          </w:p>
        </w:tc>
        <w:tc>
          <w:tcPr>
            <w:tcW w:type="dxa" w:w="223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Interfaccia e Assurance Envelope</w:t>
            </w:r>
          </w:p>
        </w:tc>
        <w:tc>
          <w:tcPr>
            <w:tcW w:type="dxa" w:w="4680"/>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Garanzie graduate su full, controlled e black-box.</w:t>
            </w:r>
          </w:p>
        </w:tc>
        <w:tc>
          <w:tcPr>
            <w:tcW w:type="dxa" w:w="151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Dopo evidenze interne solide.</w:t>
            </w:r>
          </w:p>
        </w:tc>
      </w:tr>
      <w:tr>
        <w:trPr>
          <w:cantSplit/>
        </w:trPr>
        <w:tc>
          <w:tcPr>
            <w:tcW w:type="dxa" w:w="1224"/>
            <w:tcMar>
              <w:top w:w="100" w:type="dxa"/>
              <w:start w:w="110" w:type="dxa"/>
              <w:bottom w:w="100" w:type="dxa"/>
              <w:end w:w="110" w:type="dxa"/>
            </w:tcMar>
            <w:vAlign w:val="center"/>
            <w:shd w:fill="F7F9FC"/>
          </w:tcPr>
          <w:p>
            <w:pPr>
              <w:spacing w:after="0" w:line="245" w:lineRule="auto"/>
              <w:jc w:val="center"/>
            </w:pPr>
            <w:r>
              <w:rPr>
                <w:rFonts w:ascii="Aptos" w:hAnsi="Aptos" w:eastAsia="Aptos"/>
                <w:color w:val="1F2937"/>
                <w:sz w:val="15"/>
              </w:rPr>
              <w:t>Replica multidominio</w:t>
            </w:r>
          </w:p>
        </w:tc>
        <w:tc>
          <w:tcPr>
            <w:tcW w:type="dxa" w:w="2232"/>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Generalizzazione</w:t>
            </w:r>
          </w:p>
        </w:tc>
        <w:tc>
          <w:tcPr>
            <w:tcW w:type="dxa" w:w="4680"/>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Secondo dominio con stesso Governance Core e metriche proprie.</w:t>
            </w:r>
          </w:p>
        </w:tc>
        <w:tc>
          <w:tcPr>
            <w:tcW w:type="dxa" w:w="1512"/>
            <w:tcMar>
              <w:top w:w="100" w:type="dxa"/>
              <w:start w:w="110" w:type="dxa"/>
              <w:bottom w:w="100" w:type="dxa"/>
              <w:end w:w="110" w:type="dxa"/>
            </w:tcMar>
            <w:vAlign w:val="center"/>
            <w:shd w:fill="F7F9FC"/>
          </w:tcPr>
          <w:p>
            <w:pPr>
              <w:spacing w:after="0" w:line="245" w:lineRule="auto"/>
              <w:jc w:val="left"/>
            </w:pPr>
            <w:r>
              <w:rPr>
                <w:rFonts w:ascii="Aptos" w:hAnsi="Aptos" w:eastAsia="Aptos"/>
                <w:color w:val="1F2937"/>
                <w:sz w:val="15"/>
              </w:rPr>
              <w:t>Solo dopo il primo caso validato.</w:t>
            </w:r>
          </w:p>
        </w:tc>
      </w:tr>
      <w:tr>
        <w:trPr>
          <w:cantSplit/>
        </w:trPr>
        <w:tc>
          <w:tcPr>
            <w:tcW w:type="dxa" w:w="1224"/>
            <w:tcMar>
              <w:top w:w="100" w:type="dxa"/>
              <w:start w:w="110" w:type="dxa"/>
              <w:bottom w:w="100" w:type="dxa"/>
              <w:end w:w="110" w:type="dxa"/>
            </w:tcMar>
            <w:vAlign w:val="center"/>
          </w:tcPr>
          <w:p>
            <w:pPr>
              <w:spacing w:after="0" w:line="245" w:lineRule="auto"/>
              <w:jc w:val="center"/>
            </w:pPr>
            <w:r>
              <w:rPr>
                <w:rFonts w:ascii="Aptos" w:hAnsi="Aptos" w:eastAsia="Aptos"/>
                <w:color w:val="1F2937"/>
                <w:sz w:val="15"/>
              </w:rPr>
              <w:t>Reference architecture</w:t>
            </w:r>
          </w:p>
        </w:tc>
        <w:tc>
          <w:tcPr>
            <w:tcW w:type="dxa" w:w="223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Standardizzazione</w:t>
            </w:r>
          </w:p>
        </w:tc>
        <w:tc>
          <w:tcPr>
            <w:tcW w:type="dxa" w:w="4680"/>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Profili EL-*, reference implementation e conformance test suite.</w:t>
            </w:r>
          </w:p>
        </w:tc>
        <w:tc>
          <w:tcPr>
            <w:tcW w:type="dxa" w:w="1512"/>
            <w:tcMar>
              <w:top w:w="100" w:type="dxa"/>
              <w:start w:w="110" w:type="dxa"/>
              <w:bottom w:w="100" w:type="dxa"/>
              <w:end w:w="110" w:type="dxa"/>
            </w:tcMar>
            <w:vAlign w:val="center"/>
          </w:tcPr>
          <w:p>
            <w:pPr>
              <w:spacing w:after="0" w:line="245" w:lineRule="auto"/>
              <w:jc w:val="left"/>
            </w:pPr>
            <w:r>
              <w:rPr>
                <w:rFonts w:ascii="Aptos" w:hAnsi="Aptos" w:eastAsia="Aptos"/>
                <w:color w:val="1F2937"/>
                <w:sz w:val="15"/>
              </w:rPr>
              <w:t>Dopo risultati e caso reale.</w:t>
            </w:r>
          </w:p>
        </w:tc>
      </w:tr>
    </w:tbl>
    <w:p>
      <w:pPr>
        <w:spacing w:after="0"/>
      </w:pPr>
    </w:p>
    <w:p>
      <w:pPr>
        <w:pStyle w:val="Heading1"/>
      </w:pPr>
      <w:r>
        <w:t>11. Cosa EthicLaw non promette</w:t>
      </w:r>
    </w:p>
    <w:p>
      <w:pPr>
        <w:pStyle w:val="ListBullet"/>
        <w:spacing w:after="70" w:line="259" w:lineRule="auto"/>
      </w:pPr>
      <w:r>
        <w:rPr>
          <w:rFonts w:ascii="Aptos" w:hAnsi="Aptos" w:eastAsia="Aptos"/>
        </w:rPr>
        <w:t>Non promette una definizione universale o neutrale dell’etica.</w:t>
      </w:r>
    </w:p>
    <w:p>
      <w:pPr>
        <w:pStyle w:val="ListBullet"/>
        <w:spacing w:after="70" w:line="259" w:lineRule="auto"/>
      </w:pPr>
      <w:r>
        <w:rPr>
          <w:rFonts w:ascii="Aptos" w:hAnsi="Aptos" w:eastAsia="Aptos"/>
        </w:rPr>
        <w:t>Non promette che modularità significhi automaticamente migliori prestazioni.</w:t>
      </w:r>
    </w:p>
    <w:p>
      <w:pPr>
        <w:pStyle w:val="ListBullet"/>
        <w:spacing w:after="70" w:line="259" w:lineRule="auto"/>
      </w:pPr>
      <w:r>
        <w:rPr>
          <w:rFonts w:ascii="Aptos" w:hAnsi="Aptos" w:eastAsia="Aptos"/>
        </w:rPr>
        <w:t>Non promette le stesse garanzie su un sistema pienamente osservabile e su un’API black-box.</w:t>
      </w:r>
    </w:p>
    <w:p>
      <w:pPr>
        <w:pStyle w:val="ListBullet"/>
        <w:spacing w:after="70" w:line="259" w:lineRule="auto"/>
      </w:pPr>
      <w:r>
        <w:rPr>
          <w:rFonts w:ascii="Aptos" w:hAnsi="Aptos" w:eastAsia="Aptos"/>
        </w:rPr>
        <w:t>Non promette che un audit trail sia corretto solo perché esiste.</w:t>
      </w:r>
    </w:p>
    <w:p>
      <w:pPr>
        <w:pStyle w:val="ListBullet"/>
        <w:spacing w:after="70" w:line="259" w:lineRule="auto"/>
      </w:pPr>
      <w:r>
        <w:rPr>
          <w:rFonts w:ascii="Aptos" w:hAnsi="Aptos" w:eastAsia="Aptos"/>
        </w:rPr>
        <w:t>Non promette trasparenza dei pesi: sposta la verificabilità sulle interfacce, sugli interventi e sulle evidenze.</w:t>
      </w:r>
    </w:p>
    <w:p>
      <w:pPr>
        <w:pStyle w:val="ListBullet"/>
        <w:spacing w:after="70" w:line="259" w:lineRule="auto"/>
      </w:pPr>
      <w:r>
        <w:rPr>
          <w:rFonts w:ascii="Aptos" w:hAnsi="Aptos" w:eastAsia="Aptos"/>
        </w:rPr>
        <w:t>Non promette fedeltà al cervello umano né usa l’analogia biologica come prova.</w:t>
      </w:r>
    </w:p>
    <w:p>
      <w:pPr>
        <w:pStyle w:val="ListBullet"/>
        <w:spacing w:after="70" w:line="259" w:lineRule="auto"/>
      </w:pPr>
      <w:r>
        <w:rPr>
          <w:rFonts w:ascii="Aptos" w:hAnsi="Aptos" w:eastAsia="Aptos"/>
        </w:rPr>
        <w:t>Non promette applicabilità universale: ogni nuovo dominio deve giustificare il proprio overhead.</w:t>
      </w:r>
    </w:p>
    <w:p>
      <w:pPr>
        <w:pStyle w:val="Heading1"/>
      </w:pPr>
      <w:r>
        <w:t>12. L’impegno del programma</w:t>
      </w:r>
    </w:p>
    <w:p>
      <w:pPr>
        <w:pStyle w:val="Lead"/>
      </w:pPr>
      <w:r>
        <w:t>Rendere la governance un oggetto che si possa ispezionare, misurare, contestare, sostituire e verificare.</w:t>
      </w:r>
    </w:p>
    <w:p>
      <w:r>
        <w:t>EthicLaw considera i risultati negativi parte del lavoro, i costi parte del risultato e i limiti parte della specifica. Il programma mira a produrre paper falsificabili, un’architettura di riferimento, una suite di test riproducibili e, soltanto dopo evidenze sufficienti, profili tecnici aperti per sistemi inferenziali controllati.</w:t>
      </w:r>
    </w:p>
    <w:p>
      <w:pPr>
        <w:spacing w:before="100" w:after="40"/>
      </w:pPr>
      <w:r>
        <w:rPr>
          <w:rFonts w:ascii="Aptos" w:hAnsi="Aptos" w:eastAsia="Aptos"/>
          <w:b/>
          <w:color w:val="19324D"/>
          <w:sz w:val="21"/>
        </w:rPr>
        <w:t xml:space="preserve">Formula conclusiva. </w:t>
      </w:r>
      <w:r>
        <w:rPr>
          <w:rFonts w:ascii="Aptos" w:hAnsi="Aptos" w:eastAsia="Aptos"/>
          <w:i/>
          <w:color w:val="19324D"/>
          <w:sz w:val="21"/>
        </w:rPr>
        <w:t>L’etica ha generato la domanda. L’architettura ne rende verificabile il governo. La ricerca deve dimostrare quando questa governabilità vale il costo che introduce.</w:t>
      </w:r>
    </w:p>
    <w:sectPr w:rsidR="00FC693F" w:rsidRPr="0006063C" w:rsidSect="00034616">
      <w:footerReference w:type="default" r:id="rId9"/>
      <w:pgSz w:w="12240" w:h="15840"/>
      <w:pgMar w:top="1152" w:right="1181" w:bottom="1080" w:left="118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ptos" w:hAnsi="Aptos" w:eastAsia="Aptos"/>
        <w:color w:val="6B7280"/>
        <w:sz w:val="17"/>
      </w:rPr>
      <w:t xml:space="preserve">EthicLaw · Research Manifesto · v0.1  ·  </w:t>
    </w:r>
    <w:r>
      <w:rPr>
        <w:rFonts w:ascii="Aptos" w:hAnsi="Aptos" w:eastAsia="Aptos"/>
        <w:color w:val="6B7280"/>
        <w:sz w:val="17"/>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10" w:line="269" w:lineRule="auto"/>
    </w:pPr>
    <w:rPr>
      <w:rFonts w:ascii="Aptos" w:hAnsi="Aptos" w:eastAsia="Apto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00" w:after="140"/>
      <w:outlineLvl w:val="0"/>
    </w:pPr>
    <w:rPr>
      <w:rFonts w:asciiTheme="majorHAnsi" w:eastAsiaTheme="majorEastAsia" w:hAnsiTheme="majorHAnsi" w:cstheme="majorBidi" w:ascii="Aptos Display" w:hAnsi="Aptos Display" w:eastAsia="Aptos Display"/>
      <w:b/>
      <w:bCs/>
      <w:color w:val="19324D"/>
      <w:sz w:val="34"/>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2F5597"/>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Aptos" w:hAnsi="Aptos" w:eastAsia="Aptos"/>
      <w:b/>
      <w:bCs/>
      <w:color w:val="19324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200" w:line="240" w:lineRule="auto"/>
      <w:contextualSpacing/>
    </w:pPr>
    <w:rPr>
      <w:rFonts w:asciiTheme="majorHAnsi" w:eastAsiaTheme="majorEastAsia" w:hAnsiTheme="majorHAnsi" w:cstheme="majorBidi" w:ascii="Aptos Display" w:hAnsi="Aptos Display" w:eastAsia="Aptos Display"/>
      <w:b/>
      <w:color w:val="19324D"/>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Lead">
    <w:name w:val="Lead"/>
    <w:basedOn w:val="Normal"/>
    <w:pPr>
      <w:spacing w:line="276" w:lineRule="auto" w:after="200"/>
    </w:pPr>
    <w:rPr>
      <w:rFonts w:ascii="Aptos" w:hAnsi="Aptos" w:eastAsia="Aptos"/>
      <w:color w:val="19324D"/>
      <w:sz w:val="26"/>
    </w:rPr>
  </w:style>
  <w:style w:type="paragraph" w:customStyle="1" w:styleId="Smallnote">
    <w:name w:val="Small note"/>
    <w:basedOn w:val="Normal"/>
    <w:pPr>
      <w:spacing w:after="60"/>
    </w:pPr>
    <w:rPr>
      <w:rFonts w:ascii="Aptos" w:hAnsi="Aptos" w:eastAsia="Aptos"/>
      <w:color w:val="6B7280"/>
      <w:sz w:val="18"/>
    </w:rPr>
  </w:style>
  <w:style w:type="paragraph" w:customStyle="1" w:styleId="ManifestoPrinciple">
    <w:name w:val="Manifesto Principle"/>
    <w:basedOn w:val="Normal"/>
    <w:pPr>
      <w:spacing w:after="140"/>
      <w:ind w:left="216" w:hanging="216"/>
    </w:pPr>
    <w:rPr>
      <w:rFonts w:ascii="Aptos" w:hAnsi="Aptos" w:eastAsia="Aptos"/>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