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  <w:jc w:val="center"/>
      </w:pPr>
      <w:r>
        <w:rPr>
          <w:rFonts w:ascii="Aptos Display" w:hAnsi="Aptos Display"/>
          <w:b/>
          <w:color w:val="3E5770"/>
          <w:sz w:val="20"/>
        </w:rPr>
        <w:t>ETHICLAW</w:t>
      </w:r>
    </w:p>
    <w:p>
      <w:pPr>
        <w:spacing w:after="0"/>
        <w:jc w:val="center"/>
      </w:pPr>
      <w:r>
        <w:rPr>
          <w:rFonts w:ascii="Aptos Display" w:hAnsi="Aptos Display"/>
          <w:b/>
          <w:color w:val="192A3A"/>
          <w:sz w:val="50"/>
        </w:rPr>
        <w:t>MANIFESTO</w:t>
      </w:r>
    </w:p>
    <w:p>
      <w:pPr>
        <w:spacing w:after="260"/>
        <w:jc w:val="center"/>
      </w:pPr>
      <w:r>
        <w:rPr>
          <w:i/>
          <w:color w:val="4C5C6A"/>
          <w:sz w:val="23"/>
        </w:rPr>
        <w:t>Per una governance verificabile dell’intelligenza artificiale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EAF0F4"/>
            <w:tcMar>
              <w:top w:w="120" w:type="dxa"/>
              <w:left w:w="180" w:type="dxa"/>
              <w:bottom w:w="120" w:type="dxa"/>
              <w:right w:w="180" w:type="dxa"/>
            </w:tcMar>
          </w:tcPr>
          <w:p>
            <w:pPr>
              <w:spacing w:after="0"/>
              <w:jc w:val="center"/>
            </w:pPr>
            <w:r>
              <w:rPr>
                <w:b/>
                <w:color w:val="192A3A"/>
                <w:sz w:val="24"/>
              </w:rPr>
              <w:t>La fiducia non può essere richiesta. Deve essere dimostrata.</w:t>
            </w:r>
          </w:p>
        </w:tc>
      </w:tr>
    </w:tbl>
    <w:p>
      <w:pPr>
        <w:spacing w:before="100" w:after="50" w:line="245" w:lineRule="auto"/>
        <w:jc w:val="both"/>
      </w:pPr>
      <w:r>
        <w:rPr>
          <w:color w:val="273038"/>
          <w:sz w:val="20"/>
        </w:rPr>
        <w:t>L’intelligenza artificiale sta entrando nelle decisioni che influenzano persone, organizzazioni e istituzioni. La domanda non è più soltanto quanto un sistema sia capace, ma se il suo comportamento possa essere compreso, verificato, contestato e corretto.</w:t>
      </w:r>
    </w:p>
    <w:p>
      <w:pPr>
        <w:spacing w:before="60" w:after="50" w:line="245" w:lineRule="auto"/>
        <w:jc w:val="both"/>
      </w:pPr>
      <w:r>
        <w:rPr>
          <w:color w:val="273038"/>
          <w:sz w:val="20"/>
        </w:rPr>
        <w:t>Oggi valori, criteri decisionali e responsabilità sono spesso distribuiti in sistemi opachi. Quando una decisione è errata, non è semplice stabilire quale componente abbia contribuito, quale principio sia stato applicato o come intervenire senza modificare l’intero sistema.</w:t>
      </w:r>
    </w:p>
    <w:p>
      <w:pPr>
        <w:spacing w:before="60" w:after="50" w:line="245" w:lineRule="auto"/>
        <w:jc w:val="both"/>
      </w:pPr>
      <w:r>
        <w:rPr>
          <w:color w:val="273038"/>
          <w:sz w:val="20"/>
        </w:rPr>
        <w:t>EthicLaw nasce per rendere la governance una proprietà dell’architettura, non una dichiarazione di intenti. Non propone un insieme universale di valori, non pretende di stabilire cosa sia giusto e non sostituisce il giudizio umano. Separa invece il meccanismo di supervisione dal corpus normativo che esso applica.</w:t>
      </w:r>
    </w:p>
    <w:p>
      <w:pPr>
        <w:spacing w:before="60" w:after="50" w:line="245" w:lineRule="auto"/>
        <w:jc w:val="both"/>
      </w:pPr>
      <w:r>
        <w:rPr>
          <w:color w:val="273038"/>
          <w:sz w:val="20"/>
        </w:rPr>
        <w:t>In EthicLaw i principi devono essere dichiarati e versionati; i moduli devono essere osservabili, verificabili e sostituibili; le decisioni devono produrre evidenze; l’enforcement deve essere effettivo; l’audit deve collegare ciò che il sistema ha osservato, valutato, deciso ed eseguito.</w:t>
      </w:r>
    </w:p>
    <w:p>
      <w:pPr>
        <w:spacing w:before="60" w:after="50" w:line="245" w:lineRule="auto"/>
        <w:jc w:val="both"/>
      </w:pPr>
      <w:r>
        <w:rPr>
          <w:color w:val="273038"/>
          <w:sz w:val="20"/>
        </w:rPr>
        <w:t>L’etica è il primo caso di studio, non il limite del progetto. La stessa infrastruttura può, in linea di principio, applicare obblighi giuridici, codici deontologici, policy aziendali, protocolli sanitari o regole di sicurezza. Ogni dominio mantiene la responsabilità dei propri principi; EthicLaw standardizza il modo in cui essi vengono dichiarati, applicati, aggiornati e verificati.</w:t>
      </w:r>
    </w:p>
    <w:p>
      <w:pPr>
        <w:spacing w:before="60" w:after="50" w:line="245" w:lineRule="auto"/>
        <w:jc w:val="both"/>
      </w:pPr>
      <w:r>
        <w:rPr>
          <w:color w:val="273038"/>
          <w:sz w:val="20"/>
        </w:rPr>
        <w:t>La modularità non elimina la complessità e non garantisce automaticamente decisioni corrette. Rende però possibile localizzare contributi, limiti, errori e responsabilità lungo confini progettati a priori. Le garanzie devono inoltre essere proporzionate all’osservabilità e al potere reale di intervento disponibili.</w:t>
      </w:r>
    </w:p>
    <w:p>
      <w:pPr>
        <w:spacing w:before="60" w:after="50" w:line="245" w:lineRule="auto"/>
        <w:jc w:val="both"/>
      </w:pPr>
      <w:r>
        <w:rPr>
          <w:color w:val="273038"/>
          <w:sz w:val="20"/>
        </w:rPr>
        <w:t>L’ambizione di EthicLaw non è creare un arbitro della verità. È costruire un’infrastruttura nella quale il comportamento dell’AI possa essere governato con evidenze riproducibili e sottoposto a controllo indipendente.</w:t>
      </w:r>
    </w:p>
    <w:p>
      <w:pPr>
        <w:spacing w:before="180" w:after="20"/>
        <w:jc w:val="center"/>
      </w:pPr>
      <w:r>
        <w:rPr>
          <w:b/>
          <w:color w:val="3E5770"/>
          <w:sz w:val="23"/>
        </w:rPr>
        <w:t>NON STANDARDIZZARE I VALORI.</w:t>
      </w:r>
    </w:p>
    <w:p>
      <w:pPr>
        <w:spacing w:after="0"/>
        <w:jc w:val="center"/>
      </w:pPr>
      <w:r>
        <w:rPr>
          <w:b/>
          <w:color w:val="192A3A"/>
          <w:sz w:val="26"/>
        </w:rPr>
        <w:t>Standardizzare la verificabilità della loro applicazione.</w:t>
      </w:r>
    </w:p>
    <w:sectPr w:rsidR="00FC693F" w:rsidRPr="0006063C" w:rsidSect="00034616">
      <w:footerReference w:type="default" r:id="rId9"/>
      <w:pgSz w:w="12240" w:h="15840"/>
      <w:pgMar w:top="792" w:right="1037" w:bottom="792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/>
      <w:jc w:val="center"/>
    </w:pPr>
    <w:r>
      <w:rPr>
        <w:color w:val="6E7880"/>
        <w:sz w:val="16"/>
      </w:rPr>
      <w:t>EthicLaw Research Program · Manifesto</w:t>
    </w:r>
    <w:r>
      <w:rPr>
        <w:color w:val="666666"/>
        <w:sz w:val="18"/>
      </w:rPr>
      <w:br/>
      <w:t>Avviato con il sostegno di 3FLG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 w:eastAsia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